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trPr>
          <w:jc w:val="center"/>
        </w:trPr>
        <w:tc>
          <w:tcPr>
            <w:tcW w:w="743" w:type="dxa"/>
            <w:hideMark/>
          </w:tcPr>
          <w:p>
            <w:pPr>
              <w:spacing w:line="276" w:lineRule="auto"/>
              <w:jc w:val="both"/>
              <w:rPr>
                <w:rFonts w:ascii="Arial (W1)" w:hAnsi="Arial (W1)"/>
                <w:sz w:val="28"/>
                <w:szCs w:val="28"/>
              </w:rPr>
            </w:pPr>
            <w:r>
              <w:rPr>
                <w:rFonts w:hint="cs"/>
                <w:sz w:val="28"/>
                <w:szCs w:val="28"/>
                <w:rtl/>
              </w:rPr>
              <w:t xml:space="preserve">לפני: </w:t>
            </w:r>
          </w:p>
        </w:tc>
        <w:tc>
          <w:tcPr>
            <w:tcW w:w="8077" w:type="dxa"/>
            <w:gridSpan w:val="2"/>
            <w:hideMark/>
          </w:tcPr>
          <w:p>
            <w:pPr>
              <w:spacing w:line="276" w:lineRule="auto"/>
              <w:rPr>
                <w:rFonts w:ascii="Arial" w:hAnsi="Arial"/>
                <w:sz w:val="28"/>
                <w:szCs w:val="28"/>
                <w:rtl/>
              </w:rPr>
            </w:pPr>
            <w:r>
              <w:rPr>
                <w:rFonts w:ascii="Arial" w:hAnsi="Arial" w:hint="cs"/>
                <w:sz w:val="28"/>
                <w:szCs w:val="28"/>
                <w:rtl/>
              </w:rPr>
              <w:t xml:space="preserve">                                        כבוד ה</w:t>
            </w:r>
            <w:sdt>
              <w:sdtPr>
                <w:rPr>
                  <w:sz w:val="28"/>
                  <w:szCs w:val="28"/>
                  <w:rtl/>
                </w:rPr>
                <w:alias w:val="1574"/>
                <w:tag w:val="1574"/>
                <w:id w:val="-868990752"/>
                <w:text w:multiLine="1"/>
              </w:sdtPr>
              <w:sdtContent>
                <w:r>
                  <w:rPr>
                    <w:rFonts w:ascii="Arial" w:hAnsi="Arial"/>
                    <w:sz w:val="28"/>
                    <w:szCs w:val="28"/>
                    <w:rtl/>
                  </w:rPr>
                  <w:t>שופט</w:t>
                </w:r>
              </w:sdtContent>
            </w:sdt>
            <w:r>
              <w:rPr>
                <w:rFonts w:ascii="Arial" w:hAnsi="Arial" w:hint="cs"/>
                <w:sz w:val="28"/>
                <w:szCs w:val="28"/>
                <w:rtl/>
              </w:rPr>
              <w:t xml:space="preserve"> </w:t>
            </w:r>
            <w:sdt>
              <w:sdtPr>
                <w:rPr>
                  <w:sz w:val="28"/>
                  <w:szCs w:val="28"/>
                  <w:rtl/>
                </w:rPr>
                <w:alias w:val="1573"/>
                <w:tag w:val="1573"/>
                <w:id w:val="407734867"/>
                <w:text w:multiLine="1"/>
              </w:sdtPr>
              <w:sdtContent>
                <w:r>
                  <w:rPr>
                    <w:rFonts w:ascii="Arial" w:hAnsi="Arial"/>
                    <w:sz w:val="28"/>
                    <w:szCs w:val="28"/>
                    <w:rtl/>
                  </w:rPr>
                  <w:t>גיא הימן</w:t>
                </w:r>
              </w:sdtContent>
            </w:sdt>
          </w:p>
          <w:p>
            <w:pPr>
              <w:spacing w:line="276" w:lineRule="auto"/>
              <w:rPr>
                <w:sz w:val="28"/>
                <w:szCs w:val="28"/>
              </w:rPr>
            </w:pPr>
          </w:p>
        </w:tc>
      </w:tr>
      <w:tr>
        <w:trPr>
          <w:jc w:val="center"/>
        </w:trPr>
        <w:tc>
          <w:tcPr>
            <w:tcW w:w="3249" w:type="dxa"/>
            <w:gridSpan w:val="2"/>
          </w:tcPr>
          <w:p>
            <w:pPr>
              <w:bidi w:val="0"/>
              <w:spacing w:line="276" w:lineRule="auto"/>
              <w:rPr>
                <w:rFonts w:ascii="Arial (W1)" w:hAnsi="Arial (W1)"/>
                <w:noProof w:val="0"/>
                <w:sz w:val="28"/>
                <w:szCs w:val="28"/>
                <w:rtl/>
              </w:rPr>
            </w:pPr>
          </w:p>
          <w:p>
            <w:pPr>
              <w:spacing w:line="276" w:lineRule="auto"/>
              <w:rPr>
                <w:rFonts w:ascii="Arial (W1)" w:hAnsi="Arial (W1)"/>
                <w:noProof w:val="0"/>
                <w:sz w:val="28"/>
                <w:szCs w:val="28"/>
              </w:rPr>
            </w:pPr>
            <w:r>
              <w:rPr>
                <w:rFonts w:hint="cs"/>
                <w:sz w:val="28"/>
                <w:szCs w:val="28"/>
                <w:rtl/>
              </w:rPr>
              <w:t>ה</w:t>
            </w:r>
            <w:sdt>
              <w:sdtPr>
                <w:rPr>
                  <w:rFonts w:hint="cs"/>
                  <w:sz w:val="28"/>
                  <w:szCs w:val="28"/>
                  <w:rtl/>
                </w:rPr>
                <w:alias w:val="1180"/>
                <w:tag w:val="1180"/>
                <w:id w:val="-803768281"/>
                <w:text w:multiLine="1"/>
              </w:sdtPr>
              <w:sdtContent>
                <w:r>
                  <w:rPr>
                    <w:rFonts w:hint="cs"/>
                    <w:noProof w:val="0"/>
                    <w:sz w:val="28"/>
                    <w:szCs w:val="28"/>
                    <w:rtl/>
                  </w:rPr>
                  <w:t>תובעת</w:t>
                </w:r>
              </w:sdtContent>
            </w:sdt>
            <w:r>
              <w:rPr>
                <w:rFonts w:hint="cs"/>
                <w:sz w:val="28"/>
                <w:szCs w:val="28"/>
                <w:rtl/>
              </w:rPr>
              <w:t>:</w:t>
            </w:r>
          </w:p>
        </w:tc>
        <w:tc>
          <w:tcPr>
            <w:tcW w:w="5571" w:type="dxa"/>
          </w:tcPr>
          <w:p>
            <w:pPr>
              <w:spacing w:line="276" w:lineRule="auto"/>
              <w:rPr>
                <w:rFonts w:ascii="Arial (W1)" w:hAnsi="Arial (W1)"/>
                <w:noProof w:val="0"/>
                <w:sz w:val="28"/>
                <w:szCs w:val="28"/>
                <w:rtl/>
              </w:rPr>
            </w:pPr>
          </w:p>
          <w:p>
            <w:pPr>
              <w:spacing w:line="276" w:lineRule="auto"/>
              <w:rPr>
                <w:sz w:val="28"/>
                <w:szCs w:val="28"/>
              </w:rPr>
            </w:pPr>
            <w:sdt>
              <w:sdtPr>
                <w:rPr>
                  <w:rFonts w:hint="cs"/>
                  <w:sz w:val="28"/>
                  <w:szCs w:val="28"/>
                  <w:rtl/>
                </w:rPr>
                <w:alias w:val="1478"/>
                <w:tag w:val="1478"/>
                <w:id w:val="160126198"/>
                <w:text w:multiLine="1"/>
              </w:sdtPr>
              <w:sdtContent>
                <w:r>
                  <w:rPr>
                    <w:rFonts w:hint="cs"/>
                    <w:noProof w:val="0"/>
                    <w:sz w:val="28"/>
                    <w:szCs w:val="28"/>
                    <w:rtl/>
                  </w:rPr>
                  <w:t>שחורי תקשורת סלולרית בע"מ</w:t>
                </w:r>
                <w:r>
                  <w:rPr>
                    <w:rFonts w:hint="cs"/>
                    <w:sz w:val="28"/>
                    <w:szCs w:val="28"/>
                    <w:rtl/>
                  </w:rPr>
                  <w:t>, ח"פ 511899999</w:t>
                </w:r>
              </w:sdtContent>
            </w:sdt>
          </w:p>
        </w:tc>
      </w:tr>
      <w:tr>
        <w:trPr>
          <w:jc w:val="center"/>
        </w:trPr>
        <w:tc>
          <w:tcPr>
            <w:tcW w:w="8820" w:type="dxa"/>
            <w:gridSpan w:val="3"/>
          </w:tcPr>
          <w:p>
            <w:pPr>
              <w:spacing w:line="276" w:lineRule="auto"/>
              <w:rPr>
                <w:rFonts w:ascii="Arial (W1)" w:hAnsi="Arial (W1)"/>
                <w:noProof w:val="0"/>
                <w:sz w:val="28"/>
                <w:szCs w:val="28"/>
                <w:rtl/>
              </w:rPr>
            </w:pPr>
          </w:p>
          <w:p>
            <w:pPr>
              <w:spacing w:line="276" w:lineRule="auto"/>
              <w:jc w:val="center"/>
              <w:rPr>
                <w:noProof w:val="0"/>
                <w:sz w:val="28"/>
                <w:szCs w:val="28"/>
                <w:rtl/>
              </w:rPr>
            </w:pPr>
            <w:r>
              <w:rPr>
                <w:rFonts w:hint="cs"/>
                <w:noProof w:val="0"/>
                <w:sz w:val="28"/>
                <w:szCs w:val="28"/>
                <w:rtl/>
              </w:rPr>
              <w:t>נגד</w:t>
            </w:r>
          </w:p>
          <w:p>
            <w:pPr>
              <w:spacing w:line="276" w:lineRule="auto"/>
              <w:rPr>
                <w:rFonts w:ascii="Arial (W1)" w:hAnsi="Arial (W1)"/>
                <w:noProof w:val="0"/>
                <w:sz w:val="28"/>
                <w:szCs w:val="28"/>
              </w:rPr>
            </w:pPr>
          </w:p>
        </w:tc>
      </w:tr>
      <w:tr>
        <w:trPr>
          <w:jc w:val="center"/>
        </w:trPr>
        <w:tc>
          <w:tcPr>
            <w:tcW w:w="3249" w:type="dxa"/>
            <w:gridSpan w:val="2"/>
          </w:tcPr>
          <w:p>
            <w:pPr>
              <w:spacing w:line="276" w:lineRule="auto"/>
              <w:rPr>
                <w:rFonts w:ascii="Arial (W1)" w:hAnsi="Arial (W1)"/>
                <w:noProof w:val="0"/>
                <w:sz w:val="28"/>
                <w:szCs w:val="28"/>
              </w:rPr>
            </w:pPr>
            <w:r>
              <w:rPr>
                <w:rFonts w:hint="cs"/>
                <w:sz w:val="28"/>
                <w:szCs w:val="28"/>
                <w:rtl/>
              </w:rPr>
              <w:t>ה</w:t>
            </w:r>
            <w:sdt>
              <w:sdtPr>
                <w:rPr>
                  <w:rFonts w:hint="cs"/>
                  <w:sz w:val="28"/>
                  <w:szCs w:val="28"/>
                  <w:rtl/>
                </w:rPr>
                <w:alias w:val="1184"/>
                <w:tag w:val="1184"/>
                <w:id w:val="-910234160"/>
                <w:text w:multiLine="1"/>
              </w:sdtPr>
              <w:sdtContent>
                <w:r>
                  <w:rPr>
                    <w:rFonts w:hint="cs"/>
                    <w:noProof w:val="0"/>
                    <w:sz w:val="28"/>
                    <w:szCs w:val="28"/>
                    <w:rtl/>
                  </w:rPr>
                  <w:t>נתבעים</w:t>
                </w:r>
              </w:sdtContent>
            </w:sdt>
            <w:r>
              <w:rPr>
                <w:rFonts w:ascii="Arial (W1)" w:hAnsi="Arial (W1)" w:hint="cs"/>
                <w:noProof w:val="0"/>
                <w:sz w:val="28"/>
                <w:szCs w:val="28"/>
                <w:rtl/>
              </w:rPr>
              <w:t>:</w:t>
            </w:r>
          </w:p>
        </w:tc>
        <w:tc>
          <w:tcPr>
            <w:tcW w:w="5571" w:type="dxa"/>
          </w:tcPr>
          <w:p>
            <w:pPr>
              <w:spacing w:line="276" w:lineRule="auto"/>
              <w:rPr>
                <w:sz w:val="28"/>
                <w:szCs w:val="28"/>
                <w:rtl/>
              </w:rPr>
            </w:pPr>
            <w:sdt>
              <w:sdtPr>
                <w:rPr>
                  <w:rFonts w:hint="cs"/>
                  <w:sz w:val="28"/>
                  <w:szCs w:val="28"/>
                  <w:rtl/>
                </w:rPr>
                <w:alias w:val="1571"/>
                <w:tag w:val="1571"/>
                <w:id w:val="-1361515445"/>
                <w:text w:multiLine="1"/>
              </w:sdtPr>
              <w:sdtContent>
                <w:r>
                  <w:rPr>
                    <w:rFonts w:hint="cs"/>
                    <w:noProof w:val="0"/>
                    <w:sz w:val="28"/>
                    <w:szCs w:val="28"/>
                    <w:rtl/>
                  </w:rPr>
                  <w:t>1</w:t>
                </w:r>
              </w:sdtContent>
            </w:sdt>
            <w:r>
              <w:rPr>
                <w:rFonts w:hint="cs"/>
                <w:noProof w:val="0"/>
                <w:sz w:val="28"/>
                <w:szCs w:val="28"/>
                <w:rtl/>
              </w:rPr>
              <w:t>.</w:t>
            </w:r>
            <w:sdt>
              <w:sdtPr>
                <w:rPr>
                  <w:rFonts w:hint="cs"/>
                  <w:sz w:val="28"/>
                  <w:szCs w:val="28"/>
                  <w:rtl/>
                </w:rPr>
                <w:alias w:val="1486"/>
                <w:tag w:val="1486"/>
                <w:id w:val="1487590763"/>
                <w:text w:multiLine="1"/>
              </w:sdtPr>
              <w:sdtContent>
                <w:r>
                  <w:rPr>
                    <w:rFonts w:hint="cs"/>
                    <w:noProof w:val="0"/>
                    <w:sz w:val="28"/>
                    <w:szCs w:val="28"/>
                    <w:rtl/>
                  </w:rPr>
                  <w:t xml:space="preserve"> ברקום שיווק והפצה בע"מ</w:t>
                </w:r>
                <w:r>
                  <w:rPr>
                    <w:rFonts w:hint="cs"/>
                    <w:sz w:val="28"/>
                    <w:szCs w:val="28"/>
                    <w:rtl/>
                  </w:rPr>
                  <w:t>, ח"פ 513562892</w:t>
                </w:r>
              </w:sdtContent>
            </w:sdt>
          </w:p>
          <w:p>
            <w:pPr>
              <w:spacing w:line="276" w:lineRule="auto"/>
              <w:rPr>
                <w:sz w:val="28"/>
                <w:szCs w:val="28"/>
              </w:rPr>
            </w:pPr>
            <w:sdt>
              <w:sdtPr>
                <w:rPr>
                  <w:rFonts w:hint="cs"/>
                  <w:sz w:val="28"/>
                  <w:szCs w:val="28"/>
                  <w:rtl/>
                </w:rPr>
                <w:alias w:val="1571"/>
                <w:tag w:val="1571"/>
                <w:id w:val="1044263709"/>
                <w:text w:multiLine="1"/>
              </w:sdtPr>
              <w:sdtContent>
                <w:r>
                  <w:rPr>
                    <w:rFonts w:hint="cs"/>
                    <w:noProof w:val="0"/>
                    <w:sz w:val="28"/>
                    <w:szCs w:val="28"/>
                    <w:rtl/>
                  </w:rPr>
                  <w:t>2</w:t>
                </w:r>
              </w:sdtContent>
            </w:sdt>
            <w:r>
              <w:rPr>
                <w:rFonts w:hint="cs"/>
                <w:noProof w:val="0"/>
                <w:sz w:val="28"/>
                <w:szCs w:val="28"/>
                <w:rtl/>
              </w:rPr>
              <w:t>.</w:t>
            </w:r>
            <w:sdt>
              <w:sdtPr>
                <w:rPr>
                  <w:rFonts w:hint="cs"/>
                  <w:sz w:val="28"/>
                  <w:szCs w:val="28"/>
                  <w:rtl/>
                </w:rPr>
                <w:alias w:val="1486"/>
                <w:tag w:val="1486"/>
                <w:id w:val="-418404367"/>
                <w:text w:multiLine="1"/>
              </w:sdtPr>
              <w:sdtContent>
                <w:r>
                  <w:rPr>
                    <w:rFonts w:hint="cs"/>
                    <w:sz w:val="28"/>
                    <w:szCs w:val="28"/>
                    <w:rtl/>
                  </w:rPr>
                  <w:t xml:space="preserve"> </w:t>
                </w:r>
                <w:r>
                  <w:rPr>
                    <w:sz w:val="28"/>
                    <w:szCs w:val="28"/>
                    <w:rtl/>
                  </w:rPr>
                  <w:t>איל בראל</w:t>
                </w:r>
                <w:r>
                  <w:rPr>
                    <w:rFonts w:hint="cs"/>
                    <w:sz w:val="28"/>
                    <w:szCs w:val="28"/>
                    <w:rtl/>
                  </w:rPr>
                  <w:t xml:space="preserve"> </w:t>
                </w:r>
                <w:r>
                  <w:rPr>
                    <w:sz w:val="28"/>
                    <w:szCs w:val="28"/>
                    <w:rtl/>
                  </w:rPr>
                  <w:br/>
                </w:r>
                <w:r>
                  <w:rPr>
                    <w:rFonts w:hint="cs"/>
                    <w:sz w:val="28"/>
                    <w:szCs w:val="28"/>
                    <w:rtl/>
                  </w:rPr>
                  <w:t>3. אומגה סינטק בע"מ</w:t>
                </w:r>
              </w:sdtContent>
            </w:sdt>
          </w:p>
        </w:tc>
      </w:tr>
      <w:tr>
        <w:trPr>
          <w:jc w:val="center"/>
        </w:trPr>
        <w:tc>
          <w:tcPr>
            <w:tcW w:w="3249" w:type="dxa"/>
            <w:gridSpan w:val="2"/>
          </w:tcPr>
          <w:p>
            <w:pPr>
              <w:spacing w:line="276" w:lineRule="auto"/>
              <w:rPr>
                <w:sz w:val="28"/>
                <w:szCs w:val="28"/>
                <w:rtl/>
              </w:rPr>
            </w:pPr>
          </w:p>
        </w:tc>
        <w:tc>
          <w:tcPr>
            <w:tcW w:w="5571" w:type="dxa"/>
          </w:tcPr>
          <w:p>
            <w:pPr>
              <w:spacing w:line="276" w:lineRule="auto"/>
              <w:rPr>
                <w:sz w:val="28"/>
                <w:szCs w:val="28"/>
                <w:rtl/>
              </w:rPr>
            </w:pPr>
          </w:p>
        </w:tc>
      </w:tr>
      <w:tr>
        <w:trPr>
          <w:jc w:val="center"/>
        </w:trPr>
        <w:tc>
          <w:tcPr>
            <w:tcW w:w="3249" w:type="dxa"/>
            <w:gridSpan w:val="2"/>
          </w:tcPr>
          <w:p>
            <w:pPr>
              <w:spacing w:line="276" w:lineRule="auto"/>
              <w:rPr>
                <w:sz w:val="28"/>
                <w:szCs w:val="28"/>
                <w:rtl/>
              </w:rPr>
            </w:pPr>
            <w:r>
              <w:rPr>
                <w:rFonts w:hint="cs"/>
                <w:sz w:val="28"/>
                <w:szCs w:val="28"/>
                <w:rtl/>
              </w:rPr>
              <w:t>בשם התובעת:</w:t>
            </w:r>
          </w:p>
        </w:tc>
        <w:tc>
          <w:tcPr>
            <w:tcW w:w="5571" w:type="dxa"/>
          </w:tcPr>
          <w:p>
            <w:pPr>
              <w:spacing w:line="276" w:lineRule="auto"/>
              <w:rPr>
                <w:sz w:val="28"/>
                <w:szCs w:val="28"/>
                <w:rtl/>
              </w:rPr>
            </w:pPr>
            <w:r>
              <w:rPr>
                <w:rFonts w:hint="cs"/>
                <w:sz w:val="28"/>
                <w:szCs w:val="28"/>
                <w:rtl/>
              </w:rPr>
              <w:t>עו"ד דורון תמיר</w:t>
            </w:r>
          </w:p>
        </w:tc>
      </w:tr>
      <w:tr>
        <w:trPr>
          <w:jc w:val="center"/>
        </w:trPr>
        <w:tc>
          <w:tcPr>
            <w:tcW w:w="3249" w:type="dxa"/>
            <w:gridSpan w:val="2"/>
          </w:tcPr>
          <w:p>
            <w:pPr>
              <w:spacing w:line="276" w:lineRule="auto"/>
              <w:rPr>
                <w:sz w:val="28"/>
                <w:szCs w:val="28"/>
                <w:rtl/>
              </w:rPr>
            </w:pPr>
            <w:r>
              <w:rPr>
                <w:rFonts w:hint="cs"/>
                <w:sz w:val="28"/>
                <w:szCs w:val="28"/>
                <w:rtl/>
              </w:rPr>
              <w:t>בשם הנתבעים:</w:t>
            </w:r>
          </w:p>
        </w:tc>
        <w:tc>
          <w:tcPr>
            <w:tcW w:w="5571" w:type="dxa"/>
          </w:tcPr>
          <w:p>
            <w:pPr>
              <w:spacing w:line="276" w:lineRule="auto"/>
              <w:rPr>
                <w:sz w:val="28"/>
                <w:szCs w:val="28"/>
                <w:rtl/>
              </w:rPr>
            </w:pPr>
            <w:r>
              <w:rPr>
                <w:rFonts w:hint="cs"/>
                <w:sz w:val="28"/>
                <w:szCs w:val="28"/>
                <w:rtl/>
              </w:rPr>
              <w:t>עו"ד גיא פרל</w:t>
            </w:r>
          </w:p>
        </w:tc>
      </w:tr>
    </w:tbl>
    <w:p>
      <w:pPr>
        <w:suppressLineNumbers/>
        <w:rPr>
          <w:rFonts w:ascii="Arial (W1)" w:hAnsi="Arial (W1)"/>
          <w:sz w:val="36"/>
          <w:szCs w:val="36"/>
          <w:rtl/>
        </w:rPr>
      </w:pPr>
    </w:p>
    <w:tbl>
      <w:tblPr>
        <w:tblStyle w:val="aa"/>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trPr>
          <w:jc w:val="center"/>
        </w:trPr>
        <w:tc>
          <w:tcPr>
            <w:tcW w:w="8820" w:type="dxa"/>
          </w:tcPr>
          <w:p>
            <w:pPr>
              <w:bidi w:val="0"/>
              <w:spacing w:after="240"/>
              <w:jc w:val="center"/>
              <w:rPr>
                <w:rFonts w:ascii="Arial" w:hAnsi="Arial"/>
                <w:b/>
                <w:bCs/>
                <w:noProof w:val="0"/>
                <w:sz w:val="32"/>
                <w:szCs w:val="32"/>
                <w:u w:val="single"/>
              </w:rPr>
            </w:pPr>
            <w:r>
              <w:rPr>
                <w:rFonts w:ascii="Arial" w:hAnsi="Arial"/>
                <w:b/>
                <w:bCs/>
                <w:noProof w:val="0"/>
                <w:sz w:val="32"/>
                <w:szCs w:val="32"/>
                <w:u w:val="single"/>
                <w:rtl/>
              </w:rPr>
              <w:t>פסק</w:t>
            </w:r>
            <w:r>
              <w:rPr>
                <w:rFonts w:ascii="Arial" w:hAnsi="Arial" w:hint="cs"/>
                <w:b/>
                <w:bCs/>
                <w:noProof w:val="0"/>
                <w:sz w:val="32"/>
                <w:szCs w:val="32"/>
                <w:u w:val="single"/>
                <w:rtl/>
              </w:rPr>
              <w:t>-</w:t>
            </w:r>
            <w:r>
              <w:rPr>
                <w:rFonts w:ascii="Arial" w:hAnsi="Arial"/>
                <w:b/>
                <w:bCs/>
                <w:noProof w:val="0"/>
                <w:sz w:val="32"/>
                <w:szCs w:val="32"/>
                <w:u w:val="single"/>
                <w:rtl/>
              </w:rPr>
              <w:t>דין</w:t>
            </w:r>
          </w:p>
        </w:tc>
      </w:tr>
    </w:tbl>
    <w:p>
      <w:pPr>
        <w:spacing w:line="360" w:lineRule="auto"/>
        <w:jc w:val="both"/>
        <w:rPr>
          <w:rFonts w:ascii="Arial" w:hAnsi="Arial" w:cs="FrankRuehl"/>
          <w:noProof w:val="0"/>
          <w:sz w:val="28"/>
          <w:szCs w:val="28"/>
          <w:rtl/>
        </w:rPr>
      </w:pPr>
      <w:r>
        <w:rPr>
          <w:rFonts w:ascii="Arial" w:hAnsi="Arial" w:cs="FrankRuehl" w:hint="cs"/>
          <w:noProof w:val="0"/>
          <w:sz w:val="28"/>
          <w:szCs w:val="28"/>
          <w:rtl/>
        </w:rPr>
        <w:t>1.</w:t>
      </w:r>
      <w:r>
        <w:rPr>
          <w:rFonts w:ascii="Arial" w:hAnsi="Arial" w:cs="FrankRuehl" w:hint="cs"/>
          <w:noProof w:val="0"/>
          <w:sz w:val="28"/>
          <w:szCs w:val="28"/>
          <w:rtl/>
        </w:rPr>
        <w:tab/>
        <w:t xml:space="preserve">את הבר יש לבור מן המוץ. בְּמה, שהוא בן-שייכות להכרעה הדרושה כאן, די בתמצית הבאה: </w:t>
      </w:r>
      <w:r>
        <w:rPr>
          <w:rFonts w:ascii="Arial" w:hAnsi="Arial" w:cs="FrankRuehl" w:hint="cs"/>
          <w:noProof w:val="0"/>
          <w:sz w:val="28"/>
          <w:szCs w:val="28"/>
          <w:highlight w:val="yellow"/>
          <w:rtl/>
        </w:rPr>
        <w:t>התובעת פרסמה באתר-האינטרנט שלה שלוש תמונות של מוצר, שהיא משווקת בישראל. לפי הטענה, העתיקו הנתבעים את התמונות הללו ועשו בן שימוש באתרי-האינטרנט שלהם, לשם מכירתו של מוצר דומה.</w:t>
      </w:r>
    </w:p>
    <w:p>
      <w:pPr>
        <w:spacing w:line="360" w:lineRule="auto"/>
        <w:jc w:val="both"/>
        <w:rPr>
          <w:rFonts w:ascii="Arial" w:hAnsi="Arial" w:cs="FrankRuehl"/>
          <w:noProof w:val="0"/>
          <w:sz w:val="28"/>
          <w:szCs w:val="28"/>
          <w:rtl/>
        </w:rPr>
      </w:pPr>
    </w:p>
    <w:p>
      <w:pPr>
        <w:spacing w:after="120" w:line="360" w:lineRule="auto"/>
        <w:jc w:val="both"/>
        <w:rPr>
          <w:rFonts w:ascii="Arial" w:hAnsi="Arial" w:cs="Miriam"/>
          <w:noProof w:val="0"/>
          <w:rtl/>
        </w:rPr>
      </w:pPr>
      <w:r>
        <w:rPr>
          <w:rFonts w:ascii="Arial" w:hAnsi="Arial" w:cs="Miriam" w:hint="cs"/>
          <w:noProof w:val="0"/>
          <w:rtl/>
        </w:rPr>
        <w:t>התביעה</w:t>
      </w:r>
    </w:p>
    <w:p>
      <w:pPr>
        <w:spacing w:line="360" w:lineRule="auto"/>
        <w:jc w:val="both"/>
        <w:rPr>
          <w:rFonts w:ascii="Arial" w:hAnsi="Arial" w:cs="FrankRuehl"/>
          <w:noProof w:val="0"/>
          <w:sz w:val="28"/>
          <w:szCs w:val="28"/>
          <w:rtl/>
        </w:rPr>
      </w:pPr>
      <w:r>
        <w:rPr>
          <w:rFonts w:ascii="Arial" w:hAnsi="Arial" w:cs="FrankRuehl" w:hint="cs"/>
          <w:noProof w:val="0"/>
          <w:sz w:val="28"/>
          <w:szCs w:val="28"/>
          <w:rtl/>
        </w:rPr>
        <w:t>2.</w:t>
      </w:r>
      <w:r>
        <w:rPr>
          <w:rFonts w:ascii="Arial" w:hAnsi="Arial" w:cs="FrankRuehl" w:hint="cs"/>
          <w:noProof w:val="0"/>
          <w:sz w:val="28"/>
          <w:szCs w:val="28"/>
          <w:rtl/>
        </w:rPr>
        <w:tab/>
      </w:r>
      <w:r>
        <w:rPr>
          <w:rFonts w:ascii="Arial" w:hAnsi="Arial" w:cs="FrankRuehl" w:hint="cs"/>
          <w:noProof w:val="0"/>
          <w:sz w:val="28"/>
          <w:szCs w:val="28"/>
          <w:highlight w:val="yellow"/>
          <w:rtl/>
        </w:rPr>
        <w:t>התובעת מלינה על הפרתן של זכות-היוצרים ושל זכותה המוסרית ביצירה. מקורן  הנטען של אלו הוא בכך, שאפילו לא התובעת היא שצילמה את התמונות הללו, הרי שהיא עיבדה אותן לכלל-המוצג באינטרנט.</w:t>
      </w:r>
      <w:r>
        <w:rPr>
          <w:rFonts w:ascii="Arial" w:hAnsi="Arial" w:cs="FrankRuehl" w:hint="cs"/>
          <w:noProof w:val="0"/>
          <w:sz w:val="28"/>
          <w:szCs w:val="28"/>
          <w:rtl/>
        </w:rPr>
        <w:t xml:space="preserve"> התמונות המועתקות, הוסיפה התובעת וקָבלה, הטעו את הצרכן הפוטנציאלי לסבור כי מה, שהוצע למכירה באתרי-הנתבעים הוא המוצר שמשווקת התובעת והרי זו גניבת-עין. עוד נטען להתעשרותם של הנתבעים על חשבונה של התובעת, שלא כדין, ואם בכל אלה לא די </w:t>
      </w:r>
      <w:r>
        <w:rPr>
          <w:rFonts w:ascii="Arial" w:hAnsi="Arial" w:cs="FrankRuehl"/>
          <w:noProof w:val="0"/>
          <w:sz w:val="28"/>
          <w:szCs w:val="28"/>
          <w:rtl/>
        </w:rPr>
        <w:t>–</w:t>
      </w:r>
      <w:r>
        <w:rPr>
          <w:rFonts w:ascii="Arial" w:hAnsi="Arial" w:cs="FrankRuehl" w:hint="cs"/>
          <w:noProof w:val="0"/>
          <w:sz w:val="28"/>
          <w:szCs w:val="28"/>
          <w:rtl/>
        </w:rPr>
        <w:t xml:space="preserve"> יוחסה גם עוולה של הפרת-חובה חקוקה. </w:t>
      </w:r>
    </w:p>
    <w:p>
      <w:pPr>
        <w:spacing w:line="360" w:lineRule="auto"/>
        <w:ind w:firstLine="720"/>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3.</w:t>
      </w:r>
      <w:r>
        <w:rPr>
          <w:rFonts w:ascii="Arial" w:hAnsi="Arial" w:cs="FrankRuehl" w:hint="cs"/>
          <w:noProof w:val="0"/>
          <w:sz w:val="28"/>
          <w:szCs w:val="28"/>
          <w:rtl/>
        </w:rPr>
        <w:tab/>
        <w:t xml:space="preserve">סְכומה של התביעה, לאחר הפחתתו בכתב-תביעה מתוקן </w:t>
      </w:r>
      <w:r>
        <w:rPr>
          <w:rFonts w:ascii="Arial" w:hAnsi="Arial" w:cs="FrankRuehl"/>
          <w:noProof w:val="0"/>
          <w:sz w:val="28"/>
          <w:szCs w:val="28"/>
          <w:rtl/>
        </w:rPr>
        <w:t>–</w:t>
      </w:r>
      <w:r>
        <w:rPr>
          <w:rFonts w:ascii="Arial" w:hAnsi="Arial" w:cs="FrankRuehl" w:hint="cs"/>
          <w:noProof w:val="0"/>
          <w:sz w:val="28"/>
          <w:szCs w:val="28"/>
          <w:rtl/>
        </w:rPr>
        <w:t xml:space="preserve"> 360 אלף שקלים, נתקבל מצירופם זה לזה של סכומי-הפיצוי, שניתן לתבוע ללא הוכחתו של נזק לפי כמה הוראות-חוק יחד. נתבעה תקרת-הפיצוי, הקבועה בהוראתו של סעיף 56(א) ל</w:t>
      </w:r>
      <w:r>
        <w:rPr>
          <w:rFonts w:cs="FrankRuehl"/>
          <w:noProof w:val="0"/>
          <w:color w:val="000000"/>
          <w:sz w:val="28"/>
          <w:szCs w:val="28"/>
          <w:rtl/>
          <w:lang w:eastAsia="he-IL"/>
        </w:rPr>
        <w:t xml:space="preserve">חוק זכות יוצרים, </w:t>
      </w:r>
      <w:r>
        <w:rPr>
          <w:rFonts w:cs="FrankRuehl" w:hint="cs"/>
          <w:noProof w:val="0"/>
          <w:color w:val="000000"/>
          <w:sz w:val="28"/>
          <w:szCs w:val="28"/>
          <w:rtl/>
          <w:lang w:eastAsia="he-IL"/>
        </w:rPr>
        <w:t>ה</w:t>
      </w:r>
      <w:r>
        <w:rPr>
          <w:rFonts w:cs="FrankRuehl"/>
          <w:noProof w:val="0"/>
          <w:color w:val="000000"/>
          <w:sz w:val="28"/>
          <w:szCs w:val="28"/>
          <w:rtl/>
          <w:lang w:eastAsia="he-IL"/>
        </w:rPr>
        <w:t>תשס"ח-2007</w:t>
      </w:r>
      <w:r>
        <w:rPr>
          <w:rFonts w:cs="FrankRuehl" w:hint="cs"/>
          <w:noProof w:val="0"/>
          <w:color w:val="000000"/>
          <w:sz w:val="28"/>
          <w:szCs w:val="28"/>
          <w:rtl/>
          <w:lang w:eastAsia="he-IL"/>
        </w:rPr>
        <w:t xml:space="preserve"> </w:t>
      </w:r>
      <w:r>
        <w:rPr>
          <w:rFonts w:cs="FrankRuehl"/>
          <w:noProof w:val="0"/>
          <w:color w:val="000000"/>
          <w:sz w:val="28"/>
          <w:szCs w:val="28"/>
          <w:rtl/>
          <w:lang w:eastAsia="he-IL"/>
        </w:rPr>
        <w:t>–</w:t>
      </w:r>
      <w:r>
        <w:rPr>
          <w:rFonts w:cs="FrankRuehl" w:hint="cs"/>
          <w:noProof w:val="0"/>
          <w:color w:val="000000"/>
          <w:sz w:val="28"/>
          <w:szCs w:val="28"/>
          <w:rtl/>
          <w:lang w:eastAsia="he-IL"/>
        </w:rPr>
        <w:t xml:space="preserve"> בכל </w:t>
      </w:r>
      <w:r>
        <w:rPr>
          <w:rFonts w:cs="FrankRuehl" w:hint="cs"/>
          <w:noProof w:val="0"/>
          <w:color w:val="000000"/>
          <w:sz w:val="28"/>
          <w:szCs w:val="28"/>
          <w:rtl/>
          <w:lang w:eastAsia="he-IL"/>
        </w:rPr>
        <w:lastRenderedPageBreak/>
        <w:t>אחד ואחד מן המקרים של פגיעה בזכות-היוצרים ובכל אחד ואחד מן המקרים של פגיעה בזכות המוסרית. נתבעה, עוד, תקרת-הפיצוי שבסעיף 13(א) ל</w:t>
      </w:r>
      <w:r>
        <w:rPr>
          <w:rFonts w:cs="FrankRuehl"/>
          <w:noProof w:val="0"/>
          <w:color w:val="000000"/>
          <w:sz w:val="28"/>
          <w:szCs w:val="28"/>
          <w:rtl/>
          <w:lang w:eastAsia="he-IL"/>
        </w:rPr>
        <w:t xml:space="preserve">חוק עוולות מסחריות, </w:t>
      </w:r>
      <w:r>
        <w:rPr>
          <w:rFonts w:cs="FrankRuehl" w:hint="cs"/>
          <w:noProof w:val="0"/>
          <w:color w:val="000000"/>
          <w:sz w:val="28"/>
          <w:szCs w:val="28"/>
          <w:rtl/>
          <w:lang w:eastAsia="he-IL"/>
        </w:rPr>
        <w:t>ה</w:t>
      </w:r>
      <w:r>
        <w:rPr>
          <w:rFonts w:cs="FrankRuehl"/>
          <w:noProof w:val="0"/>
          <w:color w:val="000000"/>
          <w:sz w:val="28"/>
          <w:szCs w:val="28"/>
          <w:rtl/>
          <w:lang w:eastAsia="he-IL"/>
        </w:rPr>
        <w:t>תשנ"ט-1999</w:t>
      </w:r>
      <w:r>
        <w:rPr>
          <w:rFonts w:cs="FrankRuehl" w:hint="cs"/>
          <w:noProof w:val="0"/>
          <w:color w:val="000000"/>
          <w:sz w:val="28"/>
          <w:szCs w:val="28"/>
          <w:rtl/>
          <w:lang w:eastAsia="he-IL"/>
        </w:rPr>
        <w:t xml:space="preserve"> בכל הנוגע לגניבת-עין. את הסכום השלימה תביעה לדמי-שימוש ראויים בתמונות ואת אלה נתבקש בית-המשפט "לקבוע בין אם באומדן ובין באמצעות מינוי מומחה מטעם בית המשפט שיאמוד את שווי דמי השימוש הראויים" (פִּסקה 58 לכתב-התביעה המתוקן). </w:t>
      </w:r>
      <w:r>
        <w:rPr>
          <w:rFonts w:ascii="Arial" w:hAnsi="Arial" w:cs="FrankRuehl" w:hint="cs"/>
          <w:noProof w:val="0"/>
          <w:sz w:val="28"/>
          <w:szCs w:val="28"/>
          <w:rtl/>
        </w:rPr>
        <w:t>אחר כל אלה, ואינם נטולי-קשיים, מנה כתב-התביעה שורה של סעדים נוספים: ציווי על הסרתן של התמונות מאתרי-הנתבעים; ציווי על מסירת-דו"חות מפורטים בדבר המכירות, שהניב השימוש בתמונות-התובעת וחיובם של הנתבעים להעביר לידיה של התובעת, כך ולא אחרת, "את מלוא התקבולים אשר נתקבלו אצלם ממכירת המוצר המפר" (</w:t>
      </w:r>
      <w:r>
        <w:rPr>
          <w:rFonts w:ascii="Arial" w:hAnsi="Arial" w:cs="Miriam" w:hint="cs"/>
          <w:noProof w:val="0"/>
          <w:rtl/>
        </w:rPr>
        <w:t>שם</w:t>
      </w:r>
      <w:r>
        <w:rPr>
          <w:rFonts w:ascii="Arial" w:hAnsi="Arial" w:cs="FrankRuehl" w:hint="cs"/>
          <w:noProof w:val="0"/>
          <w:sz w:val="28"/>
          <w:szCs w:val="28"/>
          <w:rtl/>
        </w:rPr>
        <w:t xml:space="preserve">, בפסקה 60(ד)). </w:t>
      </w:r>
    </w:p>
    <w:p>
      <w:pPr>
        <w:spacing w:line="360" w:lineRule="auto"/>
        <w:jc w:val="both"/>
        <w:rPr>
          <w:rFonts w:ascii="Arial" w:hAnsi="Arial" w:cs="FrankRuehl"/>
          <w:noProof w:val="0"/>
          <w:sz w:val="28"/>
          <w:szCs w:val="28"/>
          <w:rtl/>
        </w:rPr>
      </w:pPr>
    </w:p>
    <w:p>
      <w:pPr>
        <w:spacing w:after="120" w:line="360" w:lineRule="auto"/>
        <w:jc w:val="both"/>
        <w:rPr>
          <w:rFonts w:ascii="Arial" w:hAnsi="Arial" w:cs="Miriam"/>
          <w:noProof w:val="0"/>
          <w:rtl/>
        </w:rPr>
      </w:pPr>
      <w:r>
        <w:rPr>
          <w:rFonts w:ascii="Arial" w:hAnsi="Arial" w:cs="Miriam" w:hint="cs"/>
          <w:noProof w:val="0"/>
          <w:rtl/>
        </w:rPr>
        <w:t>דיון</w:t>
      </w:r>
    </w:p>
    <w:p>
      <w:pPr>
        <w:spacing w:line="360" w:lineRule="auto"/>
        <w:jc w:val="both"/>
        <w:rPr>
          <w:rFonts w:ascii="Arial" w:hAnsi="Arial" w:cs="FrankRuehl"/>
          <w:noProof w:val="0"/>
          <w:sz w:val="28"/>
          <w:szCs w:val="28"/>
          <w:rtl/>
        </w:rPr>
      </w:pPr>
      <w:r>
        <w:rPr>
          <w:rFonts w:ascii="Arial" w:hAnsi="Arial" w:cs="FrankRuehl" w:hint="cs"/>
          <w:noProof w:val="0"/>
          <w:sz w:val="28"/>
          <w:szCs w:val="28"/>
          <w:rtl/>
        </w:rPr>
        <w:t>4.</w:t>
      </w:r>
      <w:r>
        <w:rPr>
          <w:rFonts w:ascii="Arial" w:hAnsi="Arial" w:cs="FrankRuehl"/>
          <w:noProof w:val="0"/>
          <w:sz w:val="28"/>
          <w:szCs w:val="28"/>
          <w:rtl/>
        </w:rPr>
        <w:tab/>
      </w:r>
      <w:r>
        <w:rPr>
          <w:rFonts w:ascii="Arial" w:hAnsi="Arial" w:cs="FrankRuehl" w:hint="cs"/>
          <w:noProof w:val="0"/>
          <w:sz w:val="28"/>
          <w:szCs w:val="28"/>
          <w:rtl/>
        </w:rPr>
        <w:t>חוק זכות יוצרים מגדיר, בסעיף 11 לו, את זכות-היוצרים, בין היתר כ</w:t>
      </w:r>
      <w:r>
        <w:rPr>
          <w:rFonts w:ascii="Arial" w:hAnsi="Arial" w:cs="FrankRuehl"/>
          <w:noProof w:val="0"/>
          <w:sz w:val="28"/>
          <w:szCs w:val="28"/>
          <w:rtl/>
        </w:rPr>
        <w:t xml:space="preserve">זכות הבלעדית </w:t>
      </w:r>
      <w:r>
        <w:rPr>
          <w:rFonts w:ascii="Arial" w:hAnsi="Arial" w:cs="FrankRuehl" w:hint="cs"/>
          <w:noProof w:val="0"/>
          <w:sz w:val="28"/>
          <w:szCs w:val="28"/>
          <w:rtl/>
        </w:rPr>
        <w:t>להעתיק את ה</w:t>
      </w:r>
      <w:r>
        <w:rPr>
          <w:rFonts w:ascii="Arial" w:hAnsi="Arial" w:cs="FrankRuehl"/>
          <w:noProof w:val="0"/>
          <w:sz w:val="28"/>
          <w:szCs w:val="28"/>
          <w:rtl/>
        </w:rPr>
        <w:t>יצירה או חלק מהותי ממנה</w:t>
      </w:r>
      <w:r>
        <w:rPr>
          <w:rFonts w:ascii="Arial" w:hAnsi="Arial" w:cs="FrankRuehl" w:hint="cs"/>
          <w:noProof w:val="0"/>
          <w:sz w:val="28"/>
          <w:szCs w:val="28"/>
          <w:rtl/>
        </w:rPr>
        <w:t>; לשדרה לציבור; להעמידה לרשותו בדרך אחרת ולגזור ממנה יצירה אחרת, ש"</w:t>
      </w:r>
      <w:r>
        <w:rPr>
          <w:rFonts w:ascii="Arial" w:hAnsi="Arial" w:cs="FrankRuehl"/>
          <w:noProof w:val="0"/>
          <w:sz w:val="28"/>
          <w:szCs w:val="28"/>
          <w:rtl/>
        </w:rPr>
        <w:t xml:space="preserve">היא עשיית יצירה מקורית המבוססת באופן מהותי על </w:t>
      </w:r>
      <w:r>
        <w:rPr>
          <w:rFonts w:ascii="Arial" w:hAnsi="Arial" w:cs="FrankRuehl" w:hint="cs"/>
          <w:noProof w:val="0"/>
          <w:sz w:val="28"/>
          <w:szCs w:val="28"/>
          <w:rtl/>
        </w:rPr>
        <w:t>[ה]</w:t>
      </w:r>
      <w:r>
        <w:rPr>
          <w:rFonts w:ascii="Arial" w:hAnsi="Arial" w:cs="FrankRuehl"/>
          <w:noProof w:val="0"/>
          <w:sz w:val="28"/>
          <w:szCs w:val="28"/>
          <w:rtl/>
        </w:rPr>
        <w:t>יצירה, כגון עיבוד</w:t>
      </w:r>
      <w:r>
        <w:rPr>
          <w:rFonts w:ascii="Arial" w:hAnsi="Arial" w:cs="FrankRuehl" w:hint="cs"/>
          <w:noProof w:val="0"/>
          <w:sz w:val="28"/>
          <w:szCs w:val="28"/>
          <w:rtl/>
        </w:rPr>
        <w:t xml:space="preserve">". במלים פשוטות, רק בעלֵיה של זכות-היוצרים רשאי להעתיק את היצירה, להעמידה לרשותו של הציבור לרבות באמצעי-קווי או אלחוטי ולגזור ממנה יצירה אחרת. </w:t>
      </w:r>
    </w:p>
    <w:p>
      <w:pPr>
        <w:spacing w:line="360" w:lineRule="auto"/>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5.</w:t>
      </w:r>
      <w:r>
        <w:rPr>
          <w:rFonts w:ascii="Arial" w:hAnsi="Arial" w:cs="FrankRuehl" w:hint="cs"/>
          <w:noProof w:val="0"/>
          <w:sz w:val="28"/>
          <w:szCs w:val="28"/>
          <w:rtl/>
        </w:rPr>
        <w:tab/>
        <w:t xml:space="preserve">ליוצר של יצירה </w:t>
      </w:r>
      <w:r>
        <w:rPr>
          <w:rFonts w:ascii="Arial" w:hAnsi="Arial" w:cs="FrankRuehl"/>
          <w:noProof w:val="0"/>
          <w:sz w:val="28"/>
          <w:szCs w:val="28"/>
          <w:rtl/>
        </w:rPr>
        <w:t>–</w:t>
      </w:r>
      <w:r>
        <w:rPr>
          <w:rFonts w:ascii="Arial" w:hAnsi="Arial" w:cs="FrankRuehl" w:hint="cs"/>
          <w:noProof w:val="0"/>
          <w:sz w:val="28"/>
          <w:szCs w:val="28"/>
          <w:rtl/>
        </w:rPr>
        <w:t xml:space="preserve"> זכות-יוצרים בה (סעיף 33(1) לחוק) וזכות מוסרית (סעיף 46). אלא, שלשווא ביקשתי לתור בתצהיר עדותו הראשית של עֵד-התביעה היחיד, </w:t>
      </w:r>
      <w:r>
        <w:rPr>
          <w:rFonts w:ascii="Arial" w:hAnsi="Arial" w:cs="Miriam" w:hint="cs"/>
          <w:noProof w:val="0"/>
          <w:rtl/>
        </w:rPr>
        <w:t>מר שחורי</w:t>
      </w:r>
      <w:r>
        <w:rPr>
          <w:rFonts w:ascii="Arial" w:hAnsi="Arial" w:cs="FrankRuehl" w:hint="cs"/>
          <w:noProof w:val="0"/>
          <w:sz w:val="28"/>
          <w:szCs w:val="28"/>
          <w:rtl/>
        </w:rPr>
        <w:t xml:space="preserve"> והוא מנהלהּ של התובעת, אחר תיאור כלשהו של מלאכת-היצירה ולמצעָר אחר ראיה כלשהי, זולת אמירה בעלמא, לעצם-קיומה של יצירה. דבר זה לא עלה בידי</w:t>
      </w:r>
      <w:r>
        <w:rPr>
          <w:rFonts w:ascii="Arial" w:hAnsi="Arial" w:cs="FrankRuehl" w:hint="cs"/>
          <w:noProof w:val="0"/>
          <w:sz w:val="28"/>
          <w:szCs w:val="28"/>
          <w:highlight w:val="yellow"/>
          <w:rtl/>
        </w:rPr>
        <w:t>. התצהיר כולו, מראשית ועד סוף, כמו נכתב עבור תביעה אחרת ועוסקת במכירתו המפֵרה של המוצר. מה אעשה ותביעה כזו איננה מונחת לפנַי ואין הכרעתי נדרשת בה, כל עיקר.</w:t>
      </w:r>
    </w:p>
    <w:p>
      <w:pPr>
        <w:spacing w:line="360" w:lineRule="auto"/>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highlight w:val="yellow"/>
          <w:rtl/>
        </w:rPr>
        <w:t>בתצהיר-העדות הראשית מופיעות בעלמא, ללא פירוט נוסף, אמירות לקוניות ודלות-מכל-דלות: "תמונות אשר עובדו על ידי באופן אישי" (פִּסקה 11 לתצהיר) ו"התובעת עיבדה את התמונות באמצעותי" (פסקה 28). לא הוסבר מה עיבוד נעשה. לא הוסבר מה מאפיינים של יצירה יש לו. אין הקומץ שהובא מאפשר להבין מדוע עיבוד שכזה הוא "יצירה" כמשמעה בדיני-זכויות-היוצרים.</w:t>
      </w:r>
      <w:r>
        <w:rPr>
          <w:rFonts w:ascii="Arial" w:hAnsi="Arial" w:cs="FrankRuehl" w:hint="cs"/>
          <w:noProof w:val="0"/>
          <w:sz w:val="28"/>
          <w:szCs w:val="28"/>
          <w:rtl/>
        </w:rPr>
        <w:t xml:space="preserve"> </w:t>
      </w:r>
      <w:r>
        <w:rPr>
          <w:rFonts w:ascii="Arial" w:hAnsi="Arial" w:cs="FrankRuehl" w:hint="cs"/>
          <w:noProof w:val="0"/>
          <w:sz w:val="28"/>
          <w:szCs w:val="28"/>
          <w:rtl/>
        </w:rPr>
        <w:lastRenderedPageBreak/>
        <w:t xml:space="preserve">חקירתו </w:t>
      </w:r>
      <w:r>
        <w:rPr>
          <w:rFonts w:ascii="Arial" w:hAnsi="Arial" w:cs="Miriam" w:hint="cs"/>
          <w:noProof w:val="0"/>
          <w:rtl/>
        </w:rPr>
        <w:t>החוזרת</w:t>
      </w:r>
      <w:r>
        <w:rPr>
          <w:rFonts w:ascii="Arial" w:hAnsi="Arial" w:cs="FrankRuehl" w:hint="cs"/>
          <w:noProof w:val="0"/>
          <w:sz w:val="28"/>
          <w:szCs w:val="28"/>
          <w:rtl/>
        </w:rPr>
        <w:t xml:space="preserve"> של עֵד-התביעה הייתה הפעם הראשונה, שבה הוא הניח לפניו של בית-המשפט עדות בדבר-יצירה: "מי שערך את התמונה הזאת, זה בעצם אני בעזרת צייר. אני נותן פה, מראה פה דוגמא איך אני מבצע את התמונה הזאת. בסופו של דבר, זאת התמונה שיצאה, בעצם הוצאתי את החלק הזה. ואם אפשר, ניתן לראות במוצר שמופיע באתר את הסימנים פה הקטנים, שבעצם הם הסימנים האלה שאי אפשר לעשות קו ישר" (פרוטוקול, מעמ' 26, ש' 14). </w:t>
      </w:r>
    </w:p>
    <w:p>
      <w:pPr>
        <w:spacing w:line="360" w:lineRule="auto"/>
        <w:ind w:firstLine="720"/>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6.</w:t>
      </w:r>
      <w:r>
        <w:rPr>
          <w:rFonts w:ascii="Arial" w:hAnsi="Arial" w:cs="FrankRuehl" w:hint="cs"/>
          <w:noProof w:val="0"/>
          <w:sz w:val="28"/>
          <w:szCs w:val="28"/>
          <w:rtl/>
        </w:rPr>
        <w:tab/>
      </w:r>
      <w:r>
        <w:rPr>
          <w:rFonts w:ascii="Arial" w:hAnsi="Arial" w:cs="FrankRuehl" w:hint="cs"/>
          <w:noProof w:val="0"/>
          <w:sz w:val="28"/>
          <w:szCs w:val="28"/>
          <w:highlight w:val="yellow"/>
          <w:rtl/>
        </w:rPr>
        <w:t>דא עקא שהחקירה החוזרת, כשהיא לבדה, לא תוכל להיות אכסניה נכונה להוכחתה של התשתית העובדתית ועליה נסמך כתב-התביעה. החקירה החוזרת איננה חלון ודרכו מוכנס מה, שלא השכילה התובעת להביא בדלת. ממילא מסיימת החקירה החוזרת את העדוּת ועל מה, שעלה בה, מצוי קושי ממשי לחקור בחקירה נגדית. באחת הפרשות תאר בית-המשפט העליון מצב-דברים לקוי זה: "</w:t>
      </w:r>
      <w:r>
        <w:rPr>
          <w:rFonts w:ascii="Arial" w:hAnsi="Arial" w:cs="FrankRuehl"/>
          <w:noProof w:val="0"/>
          <w:sz w:val="28"/>
          <w:szCs w:val="28"/>
          <w:highlight w:val="yellow"/>
          <w:rtl/>
        </w:rPr>
        <w:t>את נקודות הציון הללו</w:t>
      </w:r>
      <w:r>
        <w:rPr>
          <w:rFonts w:ascii="Arial" w:hAnsi="Arial" w:cs="FrankRuehl" w:hint="cs"/>
          <w:noProof w:val="0"/>
          <w:sz w:val="28"/>
          <w:szCs w:val="28"/>
          <w:highlight w:val="yellow"/>
          <w:rtl/>
        </w:rPr>
        <w:t xml:space="preserve"> </w:t>
      </w:r>
      <w:r>
        <w:rPr>
          <w:rFonts w:ascii="Arial" w:hAnsi="Arial" w:cs="FrankRuehl"/>
          <w:noProof w:val="0"/>
          <w:sz w:val="28"/>
          <w:szCs w:val="28"/>
          <w:highlight w:val="yellow"/>
          <w:rtl/>
        </w:rPr>
        <w:t>מוצאים אנו בעדות לראשונה רק בחקירה החוזרת</w:t>
      </w:r>
      <w:r>
        <w:rPr>
          <w:rFonts w:ascii="Arial" w:hAnsi="Arial" w:cs="FrankRuehl" w:hint="cs"/>
          <w:noProof w:val="0"/>
          <w:sz w:val="28"/>
          <w:szCs w:val="28"/>
          <w:highlight w:val="yellow"/>
          <w:rtl/>
        </w:rPr>
        <w:t>,</w:t>
      </w:r>
      <w:r>
        <w:rPr>
          <w:rFonts w:ascii="Arial" w:hAnsi="Arial" w:cs="FrankRuehl"/>
          <w:noProof w:val="0"/>
          <w:sz w:val="28"/>
          <w:szCs w:val="28"/>
          <w:highlight w:val="yellow"/>
          <w:rtl/>
        </w:rPr>
        <w:t xml:space="preserve"> בתשובה לשאלות מדריכות של התובעת</w:t>
      </w:r>
      <w:r>
        <w:rPr>
          <w:rFonts w:ascii="Arial" w:hAnsi="Arial" w:cs="FrankRuehl" w:hint="cs"/>
          <w:noProof w:val="0"/>
          <w:sz w:val="28"/>
          <w:szCs w:val="28"/>
          <w:highlight w:val="yellow"/>
          <w:rtl/>
        </w:rPr>
        <w:t xml:space="preserve">. </w:t>
      </w:r>
      <w:r>
        <w:rPr>
          <w:rFonts w:ascii="Arial" w:hAnsi="Arial" w:cs="FrankRuehl"/>
          <w:noProof w:val="0"/>
          <w:sz w:val="28"/>
          <w:szCs w:val="28"/>
          <w:highlight w:val="yellow"/>
          <w:rtl/>
        </w:rPr>
        <w:t>כתוצאה מכך לא עמדו עובדות אלה במבחן חקירה נגדית</w:t>
      </w:r>
      <w:r>
        <w:rPr>
          <w:rFonts w:cs="FrankRuehl" w:hint="cs"/>
          <w:highlight w:val="yellow"/>
          <w:rtl/>
        </w:rPr>
        <w:t>" (</w:t>
      </w:r>
      <w:r>
        <w:rPr>
          <w:rFonts w:ascii="Arial" w:hAnsi="Arial" w:cs="FrankRuehl"/>
          <w:noProof w:val="0"/>
          <w:sz w:val="28"/>
          <w:szCs w:val="28"/>
          <w:rtl/>
        </w:rPr>
        <w:t>ע</w:t>
      </w:r>
      <w:r>
        <w:rPr>
          <w:rFonts w:ascii="Arial" w:hAnsi="Arial" w:cs="FrankRuehl" w:hint="cs"/>
          <w:noProof w:val="0"/>
          <w:sz w:val="28"/>
          <w:szCs w:val="28"/>
          <w:rtl/>
        </w:rPr>
        <w:t>"</w:t>
      </w:r>
      <w:r>
        <w:rPr>
          <w:rFonts w:ascii="Arial" w:hAnsi="Arial" w:cs="FrankRuehl"/>
          <w:noProof w:val="0"/>
          <w:sz w:val="28"/>
          <w:szCs w:val="28"/>
          <w:rtl/>
        </w:rPr>
        <w:t>פ 210/81</w:t>
      </w:r>
      <w:r>
        <w:rPr>
          <w:rFonts w:ascii="Arial" w:hAnsi="Arial" w:cs="FrankRuehl"/>
          <w:noProof w:val="0"/>
          <w:sz w:val="28"/>
          <w:szCs w:val="28"/>
        </w:rPr>
        <w:t xml:space="preserve"> </w:t>
      </w:r>
      <w:r>
        <w:rPr>
          <w:rFonts w:ascii="Arial" w:hAnsi="Arial" w:cs="Miriam"/>
          <w:noProof w:val="0"/>
          <w:rtl/>
        </w:rPr>
        <w:t>עקביוב</w:t>
      </w:r>
      <w:r>
        <w:rPr>
          <w:rFonts w:ascii="Arial" w:hAnsi="Arial" w:cs="Miriam"/>
          <w:noProof w:val="0"/>
        </w:rPr>
        <w:t xml:space="preserve"> </w:t>
      </w:r>
      <w:r>
        <w:rPr>
          <w:rFonts w:ascii="Arial" w:hAnsi="Arial" w:cs="Miriam"/>
          <w:noProof w:val="0"/>
          <w:rtl/>
        </w:rPr>
        <w:t>נ' מדינת ישראל</w:t>
      </w:r>
      <w:r>
        <w:rPr>
          <w:rFonts w:ascii="Arial" w:hAnsi="Arial" w:cs="FrankRuehl" w:hint="cs"/>
          <w:noProof w:val="0"/>
          <w:sz w:val="28"/>
          <w:szCs w:val="28"/>
          <w:rtl/>
        </w:rPr>
        <w:t xml:space="preserve">, </w:t>
      </w:r>
      <w:r>
        <w:rPr>
          <w:rFonts w:ascii="Arial" w:hAnsi="Arial" w:cs="FrankRuehl"/>
          <w:noProof w:val="0"/>
          <w:sz w:val="28"/>
          <w:szCs w:val="28"/>
          <w:rtl/>
        </w:rPr>
        <w:t>פ"ד לו(3) 393</w:t>
      </w:r>
      <w:r>
        <w:rPr>
          <w:rFonts w:ascii="Arial" w:hAnsi="Arial" w:cs="FrankRuehl" w:hint="cs"/>
          <w:noProof w:val="0"/>
          <w:sz w:val="28"/>
          <w:szCs w:val="28"/>
          <w:rtl/>
        </w:rPr>
        <w:t>, 403 (</w:t>
      </w:r>
      <w:r>
        <w:rPr>
          <w:rFonts w:ascii="Arial" w:hAnsi="Arial" w:cs="Miriam" w:hint="cs"/>
          <w:noProof w:val="0"/>
          <w:rtl/>
        </w:rPr>
        <w:t>כבוד השופט דב לוין</w:t>
      </w:r>
      <w:r>
        <w:rPr>
          <w:rFonts w:ascii="Arial" w:hAnsi="Arial" w:cs="FrankRuehl" w:hint="cs"/>
          <w:noProof w:val="0"/>
          <w:sz w:val="28"/>
          <w:szCs w:val="28"/>
          <w:rtl/>
        </w:rPr>
        <w:t xml:space="preserve">) (1982)). </w:t>
      </w:r>
      <w:r>
        <w:rPr>
          <w:rFonts w:ascii="Arial" w:hAnsi="Arial" w:cs="FrankRuehl" w:hint="cs"/>
          <w:noProof w:val="0"/>
          <w:sz w:val="28"/>
          <w:szCs w:val="28"/>
          <w:highlight w:val="yellow"/>
          <w:rtl/>
        </w:rPr>
        <w:t xml:space="preserve">מה, שעלה לראשונה בחקירה החוזרת לפנַי הוא, לכל היותר, גרסה כבושה שמשקלה, בהעדרו של הסבר מניח את הדעת לכבישתה, הוא קל שבקלים. אפילו מה שהובא באותה גרסה </w:t>
      </w:r>
      <w:r>
        <w:rPr>
          <w:rFonts w:ascii="Arial" w:hAnsi="Arial" w:cs="FrankRuehl"/>
          <w:noProof w:val="0"/>
          <w:sz w:val="28"/>
          <w:szCs w:val="28"/>
          <w:highlight w:val="yellow"/>
          <w:rtl/>
        </w:rPr>
        <w:t>–</w:t>
      </w:r>
      <w:r>
        <w:rPr>
          <w:rFonts w:ascii="Arial" w:hAnsi="Arial" w:cs="FrankRuehl" w:hint="cs"/>
          <w:noProof w:val="0"/>
          <w:sz w:val="28"/>
          <w:szCs w:val="28"/>
          <w:highlight w:val="yellow"/>
          <w:rtl/>
        </w:rPr>
        <w:t xml:space="preserve"> כללי מדי היה ונאמר גם הוא בעלמא. הנאמר לא הוכיח די הצורך, לגופו, את קיומה של יצירה במובנם של דיני-זכות-היוצרים.</w:t>
      </w:r>
      <w:r>
        <w:rPr>
          <w:rFonts w:ascii="Arial" w:hAnsi="Arial" w:cs="FrankRuehl" w:hint="cs"/>
          <w:noProof w:val="0"/>
          <w:sz w:val="28"/>
          <w:szCs w:val="28"/>
          <w:rtl/>
        </w:rPr>
        <w:t xml:space="preserve"> </w:t>
      </w:r>
    </w:p>
    <w:p>
      <w:pPr>
        <w:spacing w:line="360" w:lineRule="auto"/>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7.</w:t>
      </w:r>
      <w:r>
        <w:rPr>
          <w:rFonts w:ascii="Arial" w:hAnsi="Arial" w:cs="FrankRuehl" w:hint="cs"/>
          <w:noProof w:val="0"/>
          <w:sz w:val="28"/>
          <w:szCs w:val="28"/>
          <w:rtl/>
        </w:rPr>
        <w:tab/>
        <w:t xml:space="preserve">חוששני כי לא מקרה הוא שכך ארע. דומה עלי כי תכליתה האמתית של תובענה זו לא הייתה הפסקתו של שימוש בִּיצירה-וּשְׁמה-תמונות, כי אם בּיאת-חשבון עם הנתבעים על העתקתו הנטענת של המוצר, על מכירתו בישראל ועל הפרתה הנטענת של מערכת-יחסים ראויה בין מתחרים. כל אלו, בין שיש יסוד לטרוניות אודותן ובין שלא, ענין הן </w:t>
      </w:r>
      <w:r>
        <w:rPr>
          <w:rFonts w:ascii="Arial" w:hAnsi="Arial" w:cs="FrankRuehl"/>
          <w:noProof w:val="0"/>
          <w:sz w:val="28"/>
          <w:szCs w:val="28"/>
          <w:rtl/>
        </w:rPr>
        <w:t>–</w:t>
      </w:r>
      <w:r>
        <w:rPr>
          <w:rFonts w:ascii="Arial" w:hAnsi="Arial" w:cs="FrankRuehl" w:hint="cs"/>
          <w:noProof w:val="0"/>
          <w:sz w:val="28"/>
          <w:szCs w:val="28"/>
          <w:rtl/>
        </w:rPr>
        <w:t xml:space="preserve"> ומובן כי בית-המשפט איננו מייעץ או ממליץ דבר </w:t>
      </w:r>
      <w:r>
        <w:rPr>
          <w:rFonts w:ascii="Arial" w:hAnsi="Arial" w:cs="FrankRuehl"/>
          <w:noProof w:val="0"/>
          <w:sz w:val="28"/>
          <w:szCs w:val="28"/>
          <w:rtl/>
        </w:rPr>
        <w:t>–</w:t>
      </w:r>
      <w:r>
        <w:rPr>
          <w:rFonts w:ascii="Arial" w:hAnsi="Arial" w:cs="FrankRuehl" w:hint="cs"/>
          <w:noProof w:val="0"/>
          <w:sz w:val="28"/>
          <w:szCs w:val="28"/>
          <w:rtl/>
        </w:rPr>
        <w:t xml:space="preserve"> לתביעה מתאימה, המתמודדת עם המשוכות המשפטיות אשר הבאתה לפנֵיהן של ערכאות מחייבת. </w:t>
      </w:r>
    </w:p>
    <w:p>
      <w:pPr>
        <w:spacing w:line="360" w:lineRule="auto"/>
        <w:ind w:firstLine="720"/>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8.</w:t>
      </w:r>
      <w:r>
        <w:rPr>
          <w:rFonts w:ascii="Arial" w:hAnsi="Arial" w:cs="FrankRuehl" w:hint="cs"/>
          <w:noProof w:val="0"/>
          <w:sz w:val="28"/>
          <w:szCs w:val="28"/>
          <w:rtl/>
        </w:rPr>
        <w:tab/>
        <w:t xml:space="preserve">די באמור לדחייתה של התובענה. אם אוסיף, בכל זאת, משהו הרי זה מה שעלה, עוד, משמיעתן של העדויות. לא מצאתי כי התובעת שמטה את הקרקע מתחת לגרסאות-העובדה שהציגו הנתבעים. תחילה לענינה של נתבעת 3 והוא פשוט יחסית. העֵד מטעמה </w:t>
      </w:r>
      <w:r>
        <w:rPr>
          <w:rFonts w:ascii="Arial" w:hAnsi="Arial" w:cs="FrankRuehl"/>
          <w:noProof w:val="0"/>
          <w:sz w:val="28"/>
          <w:szCs w:val="28"/>
          <w:rtl/>
        </w:rPr>
        <w:t>–</w:t>
      </w:r>
      <w:r>
        <w:rPr>
          <w:rFonts w:ascii="Arial" w:hAnsi="Arial" w:cs="FrankRuehl" w:hint="cs"/>
          <w:noProof w:val="0"/>
          <w:sz w:val="28"/>
          <w:szCs w:val="28"/>
          <w:rtl/>
        </w:rPr>
        <w:t xml:space="preserve"> בעליה ומנהלה, </w:t>
      </w:r>
      <w:r>
        <w:rPr>
          <w:rFonts w:ascii="Arial" w:hAnsi="Arial" w:cs="Miriam" w:hint="cs"/>
          <w:noProof w:val="0"/>
          <w:rtl/>
        </w:rPr>
        <w:t>מר הררי</w:t>
      </w:r>
      <w:r>
        <w:rPr>
          <w:rFonts w:ascii="Arial" w:hAnsi="Arial" w:cs="FrankRuehl" w:hint="cs"/>
          <w:noProof w:val="0"/>
          <w:sz w:val="28"/>
          <w:szCs w:val="28"/>
          <w:rtl/>
        </w:rPr>
        <w:t xml:space="preserve"> </w:t>
      </w:r>
      <w:r>
        <w:rPr>
          <w:rFonts w:ascii="Arial" w:hAnsi="Arial" w:cs="FrankRuehl"/>
          <w:noProof w:val="0"/>
          <w:sz w:val="28"/>
          <w:szCs w:val="28"/>
          <w:rtl/>
        </w:rPr>
        <w:lastRenderedPageBreak/>
        <w:t>–</w:t>
      </w:r>
      <w:r>
        <w:rPr>
          <w:rFonts w:ascii="Arial" w:hAnsi="Arial" w:cs="FrankRuehl" w:hint="cs"/>
          <w:noProof w:val="0"/>
          <w:sz w:val="28"/>
          <w:szCs w:val="28"/>
          <w:rtl/>
        </w:rPr>
        <w:t xml:space="preserve"> הצהיר כי תמונות, שבן עשתה נתבעת 3 שימוש, ניטלו מאתר-האינטרנט של נתבעת 1 וממנה רכשה נתבעת 3 את המוצר לשם מכירתו. נתבעת 3 לא העתיקה את התמונות הללו מן התובעת וממילא לא היה בכוחה לעמוד על הקשר הנטען של זו אליהן. העֵד הוסיף והצהיר כי התמונות הללו הוסרו, לאחר בדיקה ובדיקה חוזרת, באורח מוחלט מאתרהּ של נתבעת 3, לרבות מן הקישור אליו באתר-החיפוש, והיה זה בעקבותיו של מכתב-התראה מאת התובעת ולאחר הגשתו של כתב-התביעה. ממילא, הצהיר העד, לא מכרה התובעת אף לא יחידה אחת של המוצר שרכשה ומכאן שאפילו התעשרות מן התמונות הללו לא צמחה לה. גרסה זו, על פרטיה, צלחה את מבחנה של החקירה הנגדית. זו הייתה תמציתה: </w:t>
      </w:r>
    </w:p>
    <w:p>
      <w:pPr>
        <w:spacing w:line="360" w:lineRule="auto"/>
        <w:ind w:firstLine="720"/>
        <w:jc w:val="both"/>
        <w:rPr>
          <w:rFonts w:ascii="Arial" w:hAnsi="Arial" w:cs="FrankRuehl"/>
          <w:noProof w:val="0"/>
          <w:sz w:val="20"/>
          <w:szCs w:val="20"/>
          <w:rtl/>
        </w:rPr>
      </w:pPr>
    </w:p>
    <w:p>
      <w:pPr>
        <w:spacing w:line="360" w:lineRule="auto"/>
        <w:ind w:left="1134" w:right="1701"/>
        <w:jc w:val="both"/>
        <w:rPr>
          <w:rFonts w:ascii="Arial" w:hAnsi="Arial" w:cs="FrankRuehl"/>
          <w:noProof w:val="0"/>
          <w:sz w:val="28"/>
          <w:szCs w:val="28"/>
          <w:rtl/>
        </w:rPr>
      </w:pPr>
      <w:r>
        <w:rPr>
          <w:rFonts w:ascii="Arial" w:hAnsi="Arial" w:cs="FrankRuehl" w:hint="cs"/>
          <w:noProof w:val="0"/>
          <w:sz w:val="28"/>
          <w:szCs w:val="28"/>
          <w:rtl/>
        </w:rPr>
        <w:t>"הסרנו, קודם כל, אני אגיד לך את האמת. מכתב [ההתראה] נראה מופרך לחלוטין, א[ך] אנחנו לא מכניסים ראש בריא למיטה חולה. גם המכתב הכי הזוי ביותר שכל דכפין ששולח לנו, אז אנחנו מסירים. יש לנו אלפיים – שלושת אלפים מוצרים, לא רוצים, לא צריכים את [המוצר הזה]. אז דבר ראשון מורידים את זה [את תמונות-המוצר] מהאתר, ועם זה חשבנו שסגרנו את העניין. [אחרי הגשתו של כתב-התביעה בדקנו שוב ו]מחקנו לגמרי. מחקנו לגמרי את המוצר, כן. לא רק מהאתר, באתר עצמו אי אפשר למצוא את התמונות. מי שנכנס לאתר... לקחנו [מנתבעת 1] שתי יחידות דוגמא [מהמוצר], והחזרנו [לנתבעת 1]. אחד השתמשנו בו לבדיקה, והשני החזרנו אותו אחרי מכתב ההתראה" (פרוטוקול, בעמ' 28, ש' 26-10 וש' 30-29).</w:t>
      </w:r>
    </w:p>
    <w:p>
      <w:pPr>
        <w:spacing w:line="360" w:lineRule="auto"/>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rtl/>
        </w:rPr>
        <w:t xml:space="preserve">כאמור, </w:t>
      </w:r>
      <w:r>
        <w:rPr>
          <w:rFonts w:ascii="Arial" w:hAnsi="Arial" w:cs="FrankRuehl"/>
          <w:noProof w:val="0"/>
          <w:sz w:val="28"/>
          <w:szCs w:val="28"/>
          <w:rtl/>
        </w:rPr>
        <w:tab/>
      </w:r>
      <w:r>
        <w:rPr>
          <w:rFonts w:ascii="Arial" w:hAnsi="Arial" w:cs="FrankRuehl" w:hint="cs"/>
          <w:noProof w:val="0"/>
          <w:sz w:val="28"/>
          <w:szCs w:val="28"/>
          <w:rtl/>
        </w:rPr>
        <w:t xml:space="preserve">גרסתה של נתבעת 3 לא הופרכה בחקירה הנגדית. כל ראיה אחרת, להראות שאין בגרסה זו ממש, לא הונחה לפניו של בית-המשפט. </w:t>
      </w:r>
    </w:p>
    <w:p>
      <w:pPr>
        <w:spacing w:line="360" w:lineRule="auto"/>
        <w:ind w:firstLine="720"/>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9.</w:t>
      </w:r>
      <w:r>
        <w:rPr>
          <w:rFonts w:ascii="Arial" w:hAnsi="Arial" w:cs="FrankRuehl" w:hint="cs"/>
          <w:noProof w:val="0"/>
          <w:sz w:val="28"/>
          <w:szCs w:val="28"/>
          <w:rtl/>
        </w:rPr>
        <w:tab/>
        <w:t>עתה לנתבעים 1 ו-2. האחרון, שהוא בעלֵיה ומנהלהּ של הראשונה, העיד כי שתיים מתוך ארבע תמונות, שפורסמו באתר של נתבעת 1, נתקבלו אצלה מן היצרן. עוד שתיים צילם עובֵד בנתבעת: "יש שתי תמונות שרועי צילם, מהמצלמה שלו. קודם כל ביקשתי ממנו לצלם את המוצרים, והוא אכן הוא צילם אותם. ה-</w:t>
      </w:r>
      <w:r>
        <w:rPr>
          <w:rFonts w:ascii="Arial" w:hAnsi="Arial" w:cs="FrankRuehl"/>
          <w:noProof w:val="0"/>
          <w:sz w:val="22"/>
          <w:szCs w:val="22"/>
        </w:rPr>
        <w:t>note</w:t>
      </w:r>
      <w:r>
        <w:rPr>
          <w:rFonts w:ascii="Arial" w:hAnsi="Arial" w:cs="FrankRuehl" w:hint="cs"/>
          <w:noProof w:val="0"/>
          <w:sz w:val="28"/>
          <w:szCs w:val="28"/>
          <w:rtl/>
        </w:rPr>
        <w:t xml:space="preserve"> [מכשיר נייד מסוג </w:t>
      </w:r>
      <w:r>
        <w:rPr>
          <w:rFonts w:ascii="Arial" w:hAnsi="Arial" w:cs="FrankRuehl"/>
          <w:noProof w:val="0"/>
          <w:sz w:val="22"/>
          <w:szCs w:val="22"/>
        </w:rPr>
        <w:t>Galaxy Note</w:t>
      </w:r>
      <w:r>
        <w:rPr>
          <w:rFonts w:ascii="Arial" w:hAnsi="Arial" w:cs="FrankRuehl" w:hint="cs"/>
          <w:noProof w:val="0"/>
          <w:sz w:val="28"/>
          <w:szCs w:val="28"/>
          <w:rtl/>
        </w:rPr>
        <w:t xml:space="preserve">], </w:t>
      </w:r>
      <w:r>
        <w:rPr>
          <w:rFonts w:ascii="Arial" w:hAnsi="Arial" w:cs="FrankRuehl"/>
          <w:noProof w:val="0"/>
          <w:sz w:val="22"/>
          <w:szCs w:val="22"/>
        </w:rPr>
        <w:t>note</w:t>
      </w:r>
      <w:r>
        <w:rPr>
          <w:rFonts w:ascii="Arial" w:hAnsi="Arial" w:cs="FrankRuehl" w:hint="cs"/>
          <w:noProof w:val="0"/>
          <w:sz w:val="28"/>
          <w:szCs w:val="28"/>
          <w:rtl/>
        </w:rPr>
        <w:t xml:space="preserve"> של רועי, </w:t>
      </w:r>
      <w:r>
        <w:rPr>
          <w:rFonts w:ascii="Arial" w:hAnsi="Arial" w:cs="FrankRuehl" w:hint="cs"/>
          <w:noProof w:val="0"/>
          <w:sz w:val="28"/>
          <w:szCs w:val="28"/>
          <w:rtl/>
        </w:rPr>
        <w:lastRenderedPageBreak/>
        <w:t>שהוא מצלם ב-</w:t>
      </w:r>
      <w:r>
        <w:rPr>
          <w:rFonts w:ascii="Arial" w:hAnsi="Arial" w:cs="FrankRuehl"/>
          <w:noProof w:val="0"/>
          <w:sz w:val="22"/>
          <w:szCs w:val="22"/>
        </w:rPr>
        <w:t>note</w:t>
      </w:r>
      <w:r>
        <w:rPr>
          <w:rFonts w:ascii="Arial" w:hAnsi="Arial" w:cs="FrankRuehl" w:hint="cs"/>
          <w:noProof w:val="0"/>
          <w:sz w:val="28"/>
          <w:szCs w:val="28"/>
          <w:rtl/>
        </w:rPr>
        <w:t>. זה תמונות שצולמו ב-</w:t>
      </w:r>
      <w:r>
        <w:rPr>
          <w:rFonts w:ascii="Arial" w:hAnsi="Arial" w:cs="FrankRuehl"/>
          <w:noProof w:val="0"/>
          <w:sz w:val="22"/>
          <w:szCs w:val="22"/>
        </w:rPr>
        <w:t>note</w:t>
      </w:r>
      <w:r>
        <w:rPr>
          <w:rFonts w:ascii="Arial" w:hAnsi="Arial" w:cs="FrankRuehl" w:hint="cs"/>
          <w:noProof w:val="0"/>
          <w:sz w:val="28"/>
          <w:szCs w:val="28"/>
          <w:rtl/>
        </w:rPr>
        <w:t xml:space="preserve">. בוודאות מספר 4 [לפי הסֶדר שבנספח ו' לכתב-התביעה המתוקן]. תמונה מספר 4 בוודאות, ועוד תמונה נוספת. ואת שאר התמונות קיבלנו מהיצרן" (פרוטוקול, בעמ' 34, ש' 23-16; עמ' 40, ש' 20-19 ועמ' 41, ש' 6-5). </w:t>
      </w:r>
    </w:p>
    <w:p>
      <w:pPr>
        <w:spacing w:line="360" w:lineRule="auto"/>
        <w:ind w:firstLine="720"/>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rtl/>
        </w:rPr>
        <w:t xml:space="preserve">בתצהיר של עדותו הראשית העיד גם העובד, </w:t>
      </w:r>
      <w:r>
        <w:rPr>
          <w:rFonts w:ascii="Arial" w:hAnsi="Arial" w:cs="Miriam" w:hint="cs"/>
          <w:noProof w:val="0"/>
          <w:rtl/>
        </w:rPr>
        <w:t>מר רועי בן ישי</w:t>
      </w:r>
      <w:r>
        <w:rPr>
          <w:rFonts w:ascii="Arial" w:hAnsi="Arial" w:cs="FrankRuehl" w:hint="cs"/>
          <w:noProof w:val="0"/>
          <w:sz w:val="28"/>
          <w:szCs w:val="28"/>
          <w:rtl/>
        </w:rPr>
        <w:t xml:space="preserve">, כי הוא צילם שתיים מן התמונות במצלמה, שבמכשיר הטלפון הנייד שלו, לשם העלאתן לאתר. בחקירתו הנגדית הוא פירט מדוכן-העדים: </w:t>
      </w:r>
    </w:p>
    <w:p>
      <w:pPr>
        <w:spacing w:line="360" w:lineRule="auto"/>
        <w:ind w:firstLine="720"/>
        <w:jc w:val="both"/>
        <w:rPr>
          <w:rFonts w:ascii="Arial" w:hAnsi="Arial" w:cs="FrankRuehl"/>
          <w:noProof w:val="0"/>
          <w:sz w:val="20"/>
          <w:szCs w:val="20"/>
          <w:rtl/>
        </w:rPr>
      </w:pPr>
    </w:p>
    <w:p>
      <w:pPr>
        <w:spacing w:line="360" w:lineRule="auto"/>
        <w:ind w:left="1134" w:right="1701"/>
        <w:jc w:val="both"/>
        <w:rPr>
          <w:rFonts w:ascii="Arial" w:hAnsi="Arial" w:cs="FrankRuehl"/>
          <w:noProof w:val="0"/>
          <w:sz w:val="28"/>
          <w:szCs w:val="28"/>
          <w:rtl/>
        </w:rPr>
      </w:pPr>
      <w:r>
        <w:rPr>
          <w:rFonts w:ascii="Arial" w:hAnsi="Arial" w:cs="FrankRuehl" w:hint="cs"/>
          <w:noProof w:val="0"/>
          <w:sz w:val="28"/>
          <w:szCs w:val="28"/>
          <w:rtl/>
        </w:rPr>
        <w:t xml:space="preserve">"[אני צילמתי את התמונות] ו'3 ו-ו'4 [השלישית והרביעית בנפסח ו' לכתב-התביעה]. אם אני צילמתי את התמונה הזאת, ואם אני צילמתי את התמונה הזאת, זה אותו דבר. תמונה שלי. יש לך פה ריבוע כזה, שאני יודע שזה שלי. גם פה זה אותו דבר. [צילמתי] שָׁם על השולחן. על השולחן שלי, יש לי במשרד ערכת סטודיו, פרוז'קטורים. צילמתי תמונה אחת בפרונט של המוצר הזה, ותמונה אחת </w:t>
      </w:r>
      <w:r>
        <w:rPr>
          <w:rFonts w:ascii="Arial" w:hAnsi="Arial" w:cs="FrankRuehl"/>
          <w:noProof w:val="0"/>
          <w:sz w:val="28"/>
          <w:szCs w:val="28"/>
        </w:rPr>
        <w:t>back up</w:t>
      </w:r>
      <w:r>
        <w:rPr>
          <w:rFonts w:ascii="Arial" w:hAnsi="Arial" w:cs="FrankRuehl" w:hint="cs"/>
          <w:noProof w:val="0"/>
          <w:sz w:val="28"/>
          <w:szCs w:val="28"/>
          <w:rtl/>
        </w:rPr>
        <w:t xml:space="preserve"> הזאת. אני מצלם תמונות שלי, כי לא תמיד התמונות של היצרן טובות. כל מוצר שמגיע, אני עושה את זה. זה לא בקשה: 'לך עכשיו תצלם'. אני הולך [לצלם] ברגע שיש כל מוצר חדש, זה בקשה אוטומטית שאני אעלה את המוצר הזה לאתר. אני מוציא את זה מהאריזה, ואני מצלם. צילמתי אפילו תמונות של האריזה" (פרוטוקול, מעמ' 52, ש' 9). </w:t>
      </w:r>
    </w:p>
    <w:p>
      <w:pPr>
        <w:spacing w:line="360" w:lineRule="auto"/>
        <w:ind w:left="1134" w:right="1701"/>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rtl/>
        </w:rPr>
        <w:t xml:space="preserve">את גרסתם של עדי-הגנה אלה ביקשה התובעת לסתור בטענה, שבתמונות אשר הציגו הנתבעים באתרם צולם המוצר שמכרה התובעת ולא המוצר, השונה לשיטתה, שמכרו הנתבעים. בטענה זו נמצא לי קושי ממשי. ראשית, מאפייניהם של המוצרים לא הוכחו לפניו של בית-המשפט. לא די בהצגתם לעיניו של בית-המשפט, לראשונה באולם-הדיונים, של שניים ומקל וחומר של שלושה מוצרים, מבלי שקדמו לתצוגה הזו ניתוח מדוקדק של מאפייניהם, הוכחת-מקורם וקשירתם אל התמונות מכאן ומכאן. שנית, בפיהם של שני עדי-ההגנה הנזכרים, כאחד, נמצא מענה לטענת-התובעת. הם הסבירו כי לכתחילה שלח להם היצרן, והעד </w:t>
      </w:r>
      <w:r>
        <w:rPr>
          <w:rFonts w:ascii="Arial" w:hAnsi="Arial" w:cs="Miriam" w:hint="cs"/>
          <w:noProof w:val="0"/>
          <w:rtl/>
        </w:rPr>
        <w:t>בן ישי</w:t>
      </w:r>
      <w:r>
        <w:rPr>
          <w:rFonts w:ascii="Arial" w:hAnsi="Arial" w:cs="FrankRuehl" w:hint="cs"/>
          <w:noProof w:val="0"/>
          <w:sz w:val="28"/>
          <w:szCs w:val="28"/>
          <w:rtl/>
        </w:rPr>
        <w:t xml:space="preserve"> צילם, תמונות של מוצר "גנרי" </w:t>
      </w:r>
      <w:r>
        <w:rPr>
          <w:rFonts w:ascii="Arial" w:hAnsi="Arial" w:cs="FrankRuehl" w:hint="cs"/>
          <w:noProof w:val="0"/>
          <w:sz w:val="28"/>
          <w:szCs w:val="28"/>
          <w:rtl/>
        </w:rPr>
        <w:lastRenderedPageBreak/>
        <w:t xml:space="preserve">קודם שנעשו בו, לבקשתם, שינויים ייחודיים. כלומר, לפי טענתם של נתבעים 1 ו-2 הם לא העתיקו את תמונותיה של התובעת אלא, לכל היותר, עשו שימוש בתמונות של מוצר זהה לשלה. במלוא כובד-הראש, לא אוכל לדעת מה בטענה זו הוא "הרחבת חזית", לשון-התובעת. </w:t>
      </w:r>
      <w:r>
        <w:rPr>
          <w:rFonts w:ascii="Arial" w:hAnsi="Arial" w:cs="FrankRuehl" w:hint="cs"/>
          <w:noProof w:val="0"/>
          <w:sz w:val="28"/>
          <w:szCs w:val="28"/>
          <w:highlight w:val="yellow"/>
          <w:rtl/>
        </w:rPr>
        <w:t xml:space="preserve">העובדה כי זִכרה של הטענה לא בא בכתב-ההגנה או בתצהירים לא עושה את החזית </w:t>
      </w:r>
      <w:r>
        <w:rPr>
          <w:rFonts w:ascii="Arial" w:hAnsi="Arial" w:cs="FrankRuehl"/>
          <w:noProof w:val="0"/>
          <w:sz w:val="28"/>
          <w:szCs w:val="28"/>
          <w:highlight w:val="yellow"/>
          <w:rtl/>
        </w:rPr>
        <w:t>–</w:t>
      </w:r>
      <w:r>
        <w:rPr>
          <w:rFonts w:ascii="Arial" w:hAnsi="Arial" w:cs="FrankRuehl" w:hint="cs"/>
          <w:noProof w:val="0"/>
          <w:sz w:val="28"/>
          <w:szCs w:val="28"/>
          <w:highlight w:val="yellow"/>
          <w:rtl/>
        </w:rPr>
        <w:t xml:space="preserve"> שוֹנה. לכל היותר מותר לשאול מדוע הועלתה גרסה זו לראשונה באולם-הדיונים. המענה לכך הוא נהיר </w:t>
      </w:r>
      <w:r>
        <w:rPr>
          <w:rFonts w:ascii="Arial" w:hAnsi="Arial" w:cs="FrankRuehl"/>
          <w:noProof w:val="0"/>
          <w:sz w:val="28"/>
          <w:szCs w:val="28"/>
          <w:highlight w:val="yellow"/>
          <w:rtl/>
        </w:rPr>
        <w:t>–</w:t>
      </w:r>
      <w:r>
        <w:rPr>
          <w:rFonts w:ascii="Arial" w:hAnsi="Arial" w:cs="FrankRuehl" w:hint="cs"/>
          <w:noProof w:val="0"/>
          <w:sz w:val="28"/>
          <w:szCs w:val="28"/>
          <w:highlight w:val="yellow"/>
          <w:rtl/>
        </w:rPr>
        <w:t xml:space="preserve"> היא הושמעה בתשובה לשאלות בחקירה הנגדית, שהנתבעים לא נדרשו לצפות קודם שנשאלו.</w:t>
      </w:r>
      <w:r>
        <w:rPr>
          <w:rFonts w:ascii="Arial" w:hAnsi="Arial" w:cs="FrankRuehl" w:hint="cs"/>
          <w:noProof w:val="0"/>
          <w:sz w:val="28"/>
          <w:szCs w:val="28"/>
          <w:rtl/>
        </w:rPr>
        <w:t xml:space="preserve"> </w:t>
      </w:r>
    </w:p>
    <w:p>
      <w:pPr>
        <w:spacing w:line="360" w:lineRule="auto"/>
        <w:ind w:firstLine="720"/>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noProof w:val="0"/>
          <w:sz w:val="28"/>
          <w:szCs w:val="28"/>
          <w:rtl/>
        </w:rPr>
        <w:t>עיקר מצוי בכך, שדבר בחומר-הראיות אשר הונח לפניו של בית-המשפט איננו מוכיח, במידה הנדרשת בהליך אזרחי כי מקורן של התמונות, שהועלו לאתר-האינטרנט של נתבע</w:t>
      </w:r>
      <w:r>
        <w:rPr>
          <w:rFonts w:ascii="Arial" w:hAnsi="Arial" w:cs="FrankRuehl" w:hint="cs"/>
          <w:noProof w:val="0"/>
          <w:sz w:val="28"/>
          <w:szCs w:val="28"/>
          <w:rtl/>
        </w:rPr>
        <w:t>ת 1,</w:t>
      </w:r>
      <w:r>
        <w:rPr>
          <w:rFonts w:ascii="Arial" w:hAnsi="Arial" w:cs="FrankRuehl"/>
          <w:noProof w:val="0"/>
          <w:sz w:val="28"/>
          <w:szCs w:val="28"/>
          <w:rtl/>
        </w:rPr>
        <w:t xml:space="preserve"> הוא העֲתקה מאתר-האינטרנט של התובעת. </w:t>
      </w:r>
      <w:r>
        <w:rPr>
          <w:rFonts w:ascii="Arial" w:hAnsi="Arial" w:cs="FrankRuehl" w:hint="cs"/>
          <w:noProof w:val="0"/>
          <w:sz w:val="28"/>
          <w:szCs w:val="28"/>
          <w:highlight w:val="yellow"/>
          <w:rtl/>
        </w:rPr>
        <w:t>הלכה היא כי "דמיון מסויים בין יצירות אינו מספיק כשלעצמו להוכחת העתקה, כי יכולות להיות סיבות אחרות שונות לאותו דמיון"</w:t>
      </w:r>
      <w:r>
        <w:rPr>
          <w:rFonts w:ascii="Arial" w:hAnsi="Arial" w:cs="FrankRuehl" w:hint="cs"/>
          <w:noProof w:val="0"/>
          <w:sz w:val="28"/>
          <w:szCs w:val="28"/>
          <w:rtl/>
        </w:rPr>
        <w:t xml:space="preserve"> (ע"א 559/69 </w:t>
      </w:r>
      <w:r>
        <w:rPr>
          <w:rFonts w:ascii="Arial" w:hAnsi="Arial" w:cs="Miriam" w:hint="cs"/>
          <w:noProof w:val="0"/>
          <w:rtl/>
        </w:rPr>
        <w:t>אלמגור נ' גודיק</w:t>
      </w:r>
      <w:r>
        <w:rPr>
          <w:rFonts w:ascii="Arial" w:hAnsi="Arial" w:cs="FrankRuehl" w:hint="cs"/>
          <w:noProof w:val="0"/>
          <w:sz w:val="28"/>
          <w:szCs w:val="28"/>
          <w:rtl/>
        </w:rPr>
        <w:t xml:space="preserve">, פ"ד כד(1) 825, 830 (1970)). </w:t>
      </w:r>
      <w:r>
        <w:rPr>
          <w:rFonts w:ascii="Arial" w:hAnsi="Arial" w:cs="FrankRuehl" w:hint="cs"/>
          <w:noProof w:val="0"/>
          <w:sz w:val="28"/>
          <w:szCs w:val="28"/>
          <w:highlight w:val="yellow"/>
          <w:rtl/>
        </w:rPr>
        <w:t>להשקפתי, הדמיון הנטען כאן, לרבות "זוויות אור דומות" (סיכומי התובעת, פרוטוקול בעמ' 60, ש' 1), לא הוכח כל צורכו. גם סדר דומה של התמונות, לבדו, איננו אינדיקציה מספקת להעתקה. בנדון מתקשה אתה להסתפק במראה-עיניים לבדו. חוות-דעתו של מומחה, בייחוד מומחה לצילום או לעיבוד גראפי, לא הונחה לפניו של בית-המשפט.</w:t>
      </w:r>
    </w:p>
    <w:p>
      <w:pPr>
        <w:spacing w:line="360" w:lineRule="auto"/>
        <w:ind w:firstLine="720"/>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rtl/>
        </w:rPr>
        <w:t xml:space="preserve">לא זו בלבד. </w:t>
      </w:r>
      <w:r>
        <w:rPr>
          <w:rFonts w:ascii="Arial" w:hAnsi="Arial" w:cs="FrankRuehl"/>
          <w:noProof w:val="0"/>
          <w:sz w:val="28"/>
          <w:szCs w:val="28"/>
          <w:rtl/>
        </w:rPr>
        <w:t>שום תמונה</w:t>
      </w:r>
      <w:r>
        <w:rPr>
          <w:rFonts w:ascii="Arial" w:hAnsi="Arial" w:cs="FrankRuehl" w:hint="cs"/>
          <w:noProof w:val="0"/>
          <w:sz w:val="28"/>
          <w:szCs w:val="28"/>
          <w:rtl/>
        </w:rPr>
        <w:t xml:space="preserve"> מן התמונות, שעליהן סמכה התובעת את תביעתה, לא </w:t>
      </w:r>
      <w:r>
        <w:rPr>
          <w:rFonts w:ascii="Arial" w:hAnsi="Arial" w:cs="FrankRuehl"/>
          <w:noProof w:val="0"/>
          <w:sz w:val="28"/>
          <w:szCs w:val="28"/>
          <w:rtl/>
        </w:rPr>
        <w:t>הוגשה כרא</w:t>
      </w:r>
      <w:r>
        <w:rPr>
          <w:rFonts w:ascii="Arial" w:hAnsi="Arial" w:cs="FrankRuehl" w:hint="cs"/>
          <w:noProof w:val="0"/>
          <w:sz w:val="28"/>
          <w:szCs w:val="28"/>
          <w:rtl/>
        </w:rPr>
        <w:t>ָ</w:t>
      </w:r>
      <w:r>
        <w:rPr>
          <w:rFonts w:ascii="Arial" w:hAnsi="Arial" w:cs="FrankRuehl"/>
          <w:noProof w:val="0"/>
          <w:sz w:val="28"/>
          <w:szCs w:val="28"/>
          <w:rtl/>
        </w:rPr>
        <w:t>יה במסגרת</w:t>
      </w:r>
      <w:r>
        <w:rPr>
          <w:rFonts w:ascii="Arial" w:hAnsi="Arial" w:cs="FrankRuehl" w:hint="cs"/>
          <w:noProof w:val="0"/>
          <w:sz w:val="28"/>
          <w:szCs w:val="28"/>
          <w:rtl/>
        </w:rPr>
        <w:t>-</w:t>
      </w:r>
      <w:r>
        <w:rPr>
          <w:rFonts w:ascii="Arial" w:hAnsi="Arial" w:cs="FrankRuehl"/>
          <w:noProof w:val="0"/>
          <w:sz w:val="28"/>
          <w:szCs w:val="28"/>
          <w:rtl/>
        </w:rPr>
        <w:t>תצהיריה</w:t>
      </w:r>
      <w:r>
        <w:rPr>
          <w:rFonts w:ascii="Arial" w:hAnsi="Arial" w:cs="FrankRuehl" w:hint="cs"/>
          <w:noProof w:val="0"/>
          <w:sz w:val="28"/>
          <w:szCs w:val="28"/>
          <w:rtl/>
        </w:rPr>
        <w:t xml:space="preserve">. העֵד, כזכור היחיד, מטעמה לא דיבר </w:t>
      </w:r>
      <w:r>
        <w:rPr>
          <w:rFonts w:ascii="Arial" w:hAnsi="Arial" w:cs="FrankRuehl"/>
          <w:noProof w:val="0"/>
          <w:sz w:val="28"/>
          <w:szCs w:val="28"/>
          <w:rtl/>
        </w:rPr>
        <w:t>–</w:t>
      </w:r>
      <w:r>
        <w:rPr>
          <w:rFonts w:ascii="Arial" w:hAnsi="Arial" w:cs="FrankRuehl" w:hint="cs"/>
          <w:noProof w:val="0"/>
          <w:sz w:val="28"/>
          <w:szCs w:val="28"/>
          <w:rtl/>
        </w:rPr>
        <w:t xml:space="preserve"> מחקירתו הראשית, דרך זו הנגדית ועד לדברים, שאמר בחקירה החוזרת </w:t>
      </w:r>
      <w:r>
        <w:rPr>
          <w:rFonts w:ascii="Arial" w:hAnsi="Arial" w:cs="FrankRuehl"/>
          <w:noProof w:val="0"/>
          <w:sz w:val="28"/>
          <w:szCs w:val="28"/>
          <w:rtl/>
        </w:rPr>
        <w:t>–</w:t>
      </w:r>
      <w:r>
        <w:rPr>
          <w:rFonts w:ascii="Arial" w:hAnsi="Arial" w:cs="FrankRuehl" w:hint="cs"/>
          <w:noProof w:val="0"/>
          <w:sz w:val="28"/>
          <w:szCs w:val="28"/>
          <w:rtl/>
        </w:rPr>
        <w:t xml:space="preserve"> בתמונות קונקרטיות. התובעת הסתפקה בצירופן של תמונות, ובביאורן בְּכותרות, בנספחים לכתב-התביעה. בכך לא סגי להוכחת-אמתותו של הנטען לגביהן של תמונות אלו. דבר בראיותיה של התובעת לא הוכיח כי מה שהופיע בנספח השביעי לכתב-התביעה הוא, אכן, תמונות-המקור שקיבלה היא מן היצרן. דבר לא הוכיח כי מה שצורף בנספח הששי </w:t>
      </w:r>
      <w:r>
        <w:rPr>
          <w:rFonts w:ascii="Arial" w:hAnsi="Arial" w:cs="FrankRuehl"/>
          <w:noProof w:val="0"/>
          <w:sz w:val="28"/>
          <w:szCs w:val="28"/>
          <w:rtl/>
        </w:rPr>
        <w:t>–</w:t>
      </w:r>
      <w:r>
        <w:rPr>
          <w:rFonts w:ascii="Arial" w:hAnsi="Arial" w:cs="FrankRuehl" w:hint="cs"/>
          <w:noProof w:val="0"/>
          <w:sz w:val="28"/>
          <w:szCs w:val="28"/>
          <w:rtl/>
        </w:rPr>
        <w:t xml:space="preserve"> כאמור, לכתב-התביעה בלבד </w:t>
      </w:r>
      <w:r>
        <w:rPr>
          <w:rFonts w:ascii="Arial" w:hAnsi="Arial" w:cs="FrankRuehl"/>
          <w:noProof w:val="0"/>
          <w:sz w:val="28"/>
          <w:szCs w:val="28"/>
          <w:rtl/>
        </w:rPr>
        <w:t>–</w:t>
      </w:r>
      <w:r>
        <w:rPr>
          <w:rFonts w:ascii="Arial" w:hAnsi="Arial" w:cs="FrankRuehl" w:hint="cs"/>
          <w:noProof w:val="0"/>
          <w:sz w:val="28"/>
          <w:szCs w:val="28"/>
          <w:rtl/>
        </w:rPr>
        <w:t xml:space="preserve"> הוא אכן תמונות, שנלקחו מאתר-האינטרנט של נתבעת 1. זאת ועוד, אין זהות בין תוכנם של הנספחים הללו. בתמונות, שיוחסו לנתבעים 1 ו-2, מופיעה רביעית תמונה, שאיננה נמנית עם התמונות אשר לטענת-התובעת הן תמונותיה. זוהי אחת מן התמונות </w:t>
      </w:r>
      <w:r>
        <w:rPr>
          <w:rFonts w:ascii="Arial" w:hAnsi="Arial" w:cs="FrankRuehl"/>
          <w:noProof w:val="0"/>
          <w:sz w:val="28"/>
          <w:szCs w:val="28"/>
          <w:rtl/>
        </w:rPr>
        <w:t>–</w:t>
      </w:r>
      <w:r>
        <w:rPr>
          <w:rFonts w:ascii="Arial" w:hAnsi="Arial" w:cs="FrankRuehl" w:hint="cs"/>
          <w:noProof w:val="0"/>
          <w:sz w:val="28"/>
          <w:szCs w:val="28"/>
          <w:rtl/>
        </w:rPr>
        <w:t xml:space="preserve"> "ו'4" </w:t>
      </w:r>
      <w:r>
        <w:rPr>
          <w:rFonts w:ascii="Arial" w:hAnsi="Arial" w:cs="FrankRuehl"/>
          <w:noProof w:val="0"/>
          <w:sz w:val="28"/>
          <w:szCs w:val="28"/>
          <w:rtl/>
        </w:rPr>
        <w:t>–</w:t>
      </w:r>
      <w:r>
        <w:rPr>
          <w:rFonts w:ascii="Arial" w:hAnsi="Arial" w:cs="FrankRuehl" w:hint="cs"/>
          <w:noProof w:val="0"/>
          <w:sz w:val="28"/>
          <w:szCs w:val="28"/>
          <w:rtl/>
        </w:rPr>
        <w:t xml:space="preserve"> שהעד </w:t>
      </w:r>
      <w:r>
        <w:rPr>
          <w:rFonts w:ascii="Arial" w:hAnsi="Arial" w:cs="Miriam" w:hint="cs"/>
          <w:noProof w:val="0"/>
          <w:rtl/>
        </w:rPr>
        <w:t>בן ישי</w:t>
      </w:r>
      <w:r>
        <w:rPr>
          <w:rFonts w:ascii="Arial" w:hAnsi="Arial" w:cs="FrankRuehl" w:hint="cs"/>
          <w:noProof w:val="0"/>
          <w:sz w:val="28"/>
          <w:szCs w:val="28"/>
          <w:rtl/>
        </w:rPr>
        <w:t xml:space="preserve"> העיד כי הוא עצמו צילם. בזאת נמצא חיזוק לגרסה שהשמיע העד הזה בעדותו. העד התייחס, אמנם, גם לתמונה השלישית ("ו'3"), וזו דומָה-עד-זהות לאחת מן </w:t>
      </w:r>
      <w:r>
        <w:rPr>
          <w:rFonts w:ascii="Arial" w:hAnsi="Arial" w:cs="FrankRuehl" w:hint="cs"/>
          <w:noProof w:val="0"/>
          <w:sz w:val="28"/>
          <w:szCs w:val="28"/>
          <w:rtl/>
        </w:rPr>
        <w:lastRenderedPageBreak/>
        <w:t xml:space="preserve">התמונות שייחסה התובעת לעצמה. ברם לא מצאתי כי די בדבר הזה </w:t>
      </w:r>
      <w:r>
        <w:rPr>
          <w:rFonts w:ascii="Arial" w:hAnsi="Arial" w:cs="FrankRuehl"/>
          <w:noProof w:val="0"/>
          <w:sz w:val="28"/>
          <w:szCs w:val="28"/>
          <w:rtl/>
        </w:rPr>
        <w:t>–</w:t>
      </w:r>
      <w:r>
        <w:rPr>
          <w:rFonts w:ascii="Arial" w:hAnsi="Arial" w:cs="FrankRuehl" w:hint="cs"/>
          <w:noProof w:val="0"/>
          <w:sz w:val="28"/>
          <w:szCs w:val="28"/>
          <w:rtl/>
        </w:rPr>
        <w:t xml:space="preserve"> שנאמר בתנאים של אולם-דיונים וזמן ממושך לאחר הצילום </w:t>
      </w:r>
      <w:r>
        <w:rPr>
          <w:rFonts w:ascii="Arial" w:hAnsi="Arial" w:cs="FrankRuehl"/>
          <w:noProof w:val="0"/>
          <w:sz w:val="28"/>
          <w:szCs w:val="28"/>
          <w:rtl/>
        </w:rPr>
        <w:t>–</w:t>
      </w:r>
      <w:r>
        <w:rPr>
          <w:rFonts w:ascii="Arial" w:hAnsi="Arial" w:cs="FrankRuehl" w:hint="cs"/>
          <w:noProof w:val="0"/>
          <w:sz w:val="28"/>
          <w:szCs w:val="28"/>
          <w:rtl/>
        </w:rPr>
        <w:t xml:space="preserve"> ליטול ממהימנותה של עדותו. אפשר בהחלט כי העד שגה בהתייחסו לתמונה יחידה זו. </w:t>
      </w:r>
    </w:p>
    <w:p>
      <w:pPr>
        <w:spacing w:line="360" w:lineRule="auto"/>
        <w:ind w:firstLine="720"/>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highlight w:val="yellow"/>
          <w:rtl/>
        </w:rPr>
        <w:t xml:space="preserve">ברם אפילו היה חלק מן התמונות </w:t>
      </w:r>
      <w:r>
        <w:rPr>
          <w:rFonts w:ascii="Arial" w:hAnsi="Arial" w:cs="FrankRuehl"/>
          <w:noProof w:val="0"/>
          <w:sz w:val="28"/>
          <w:szCs w:val="28"/>
          <w:highlight w:val="yellow"/>
          <w:rtl/>
        </w:rPr>
        <w:t>–</w:t>
      </w:r>
      <w:r>
        <w:rPr>
          <w:rFonts w:ascii="Arial" w:hAnsi="Arial" w:cs="FrankRuehl" w:hint="cs"/>
          <w:noProof w:val="0"/>
          <w:sz w:val="28"/>
          <w:szCs w:val="28"/>
          <w:highlight w:val="yellow"/>
          <w:rtl/>
        </w:rPr>
        <w:t xml:space="preserve"> זהה לחלוטין לתמונות-התובעת, אינך יכול לדעת כי מקורה של הזהות הוא בהעתקה, שהעתיקו נתבעים 1 ו-2 את התמונות הללו. אפשרות חלופית, ולה היתכנות בעדויות, היא כי שורשיה של הזהות הם בארץ-המוצא של המוצרים. "המוצר הזה מיוצר בקרב לפחות, אם אתה מסתובב בתערוכות בסין, לפחות ב-5 עד 10 ביתנים שונים", העיד נתבע 1 מבלי שנסתר (פרוטוקול, בעמ' 32, ש' 20-19). בין שמקור-הזהות בתמונות הוא בהעתקה בארץ-המוצא, ובין שפשר-הדברים הוא אחר, ראָיה קונקלוסיבית לכך שנתבעים 1 ו-2 העתיקו את התמונות לא הונחה לפנַי.</w:t>
      </w:r>
      <w:r>
        <w:rPr>
          <w:rFonts w:ascii="Arial" w:hAnsi="Arial" w:cs="FrankRuehl" w:hint="cs"/>
          <w:noProof w:val="0"/>
          <w:sz w:val="28"/>
          <w:szCs w:val="28"/>
          <w:rtl/>
        </w:rPr>
        <w:t xml:space="preserve"> </w:t>
      </w:r>
      <w:r>
        <w:rPr>
          <w:rFonts w:ascii="Arial" w:hAnsi="Arial" w:cs="FrankRuehl" w:hint="cs"/>
          <w:noProof w:val="0"/>
          <w:sz w:val="28"/>
          <w:szCs w:val="28"/>
          <w:highlight w:val="green"/>
          <w:rtl/>
        </w:rPr>
        <w:t xml:space="preserve">לא הונחה דעתו של בית-המשפט, והוא העיקר, כי "אין זה סביר להניח, שדמיון זה הוא פרי של מקרה או של סיבה אחרת, מלבד העתקה, תוצאה של איזה שהן סיבות, פרט להעתקה" (ע"א 559/69 </w:t>
      </w:r>
      <w:r>
        <w:rPr>
          <w:rFonts w:ascii="Arial" w:hAnsi="Arial" w:cs="Miriam" w:hint="cs"/>
          <w:noProof w:val="0"/>
          <w:highlight w:val="green"/>
          <w:rtl/>
        </w:rPr>
        <w:t>אלמגור</w:t>
      </w:r>
      <w:r>
        <w:rPr>
          <w:rFonts w:ascii="Arial" w:hAnsi="Arial" w:cs="FrankRuehl" w:hint="cs"/>
          <w:noProof w:val="0"/>
          <w:sz w:val="28"/>
          <w:szCs w:val="28"/>
          <w:highlight w:val="green"/>
          <w:rtl/>
        </w:rPr>
        <w:t xml:space="preserve"> הנ"ל, בעמ' 830). במלים פשוטות: לא אוכל לדעת אם ההעתקה המיוחסת לנתבעים אכן התרחשה. היות, שהנטל הוא על התובעת, לא נמצא לי מקום לחייב את הנתבעים בתרופותיה.</w:t>
      </w:r>
    </w:p>
    <w:p>
      <w:pPr>
        <w:spacing w:line="360" w:lineRule="auto"/>
        <w:ind w:firstLine="720"/>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10.</w:t>
      </w:r>
      <w:r>
        <w:rPr>
          <w:rFonts w:ascii="Arial" w:hAnsi="Arial" w:cs="FrankRuehl" w:hint="cs"/>
          <w:noProof w:val="0"/>
          <w:sz w:val="28"/>
          <w:szCs w:val="28"/>
          <w:rtl/>
        </w:rPr>
        <w:tab/>
        <w:t>לטענה לגניבת-עין. לפי ההגדרה, שבסעיף 1(א) לחוק עוולות מסחריות, "</w:t>
      </w:r>
      <w:r>
        <w:rPr>
          <w:rFonts w:ascii="Arial" w:hAnsi="Arial" w:cs="FrankRuehl"/>
          <w:noProof w:val="0"/>
          <w:sz w:val="28"/>
          <w:szCs w:val="28"/>
          <w:rtl/>
        </w:rPr>
        <w:t>לא יגרום עוסק לכך שנכס שהוא מוכר או שירות שהוא נותן, ייחשבו בטעות כנכס או כש</w:t>
      </w:r>
      <w:r>
        <w:rPr>
          <w:rFonts w:ascii="Arial" w:hAnsi="Arial" w:cs="FrankRuehl" w:hint="cs"/>
          <w:noProof w:val="0"/>
          <w:sz w:val="28"/>
          <w:szCs w:val="28"/>
          <w:rtl/>
        </w:rPr>
        <w:t>ֵׁ</w:t>
      </w:r>
      <w:r>
        <w:rPr>
          <w:rFonts w:ascii="Arial" w:hAnsi="Arial" w:cs="FrankRuehl"/>
          <w:noProof w:val="0"/>
          <w:sz w:val="28"/>
          <w:szCs w:val="28"/>
          <w:rtl/>
        </w:rPr>
        <w:t>ירות של עוסק אחר או כנכס או כשירות שיש להם קשר לעוסק אחר</w:t>
      </w:r>
      <w:r>
        <w:rPr>
          <w:rFonts w:ascii="Arial" w:hAnsi="Arial" w:cs="FrankRuehl" w:hint="cs"/>
          <w:noProof w:val="0"/>
          <w:sz w:val="28"/>
          <w:szCs w:val="28"/>
          <w:rtl/>
        </w:rPr>
        <w:t xml:space="preserve">". דווקא הדמיון הנטען בין המוצרים, שהתובעת לא התכחשה לו אפילו שלשיטתה אין אלה מוצרים זהים, שומט את הקרקע מתחת לקיומה של הטעיה כאמור. אפילו נקבע </w:t>
      </w:r>
      <w:r>
        <w:rPr>
          <w:rFonts w:ascii="Arial" w:hAnsi="Arial" w:cs="FrankRuehl"/>
          <w:noProof w:val="0"/>
          <w:sz w:val="28"/>
          <w:szCs w:val="28"/>
          <w:rtl/>
        </w:rPr>
        <w:t>–</w:t>
      </w:r>
      <w:r>
        <w:rPr>
          <w:rFonts w:ascii="Arial" w:hAnsi="Arial" w:cs="FrankRuehl" w:hint="cs"/>
          <w:noProof w:val="0"/>
          <w:sz w:val="28"/>
          <w:szCs w:val="28"/>
          <w:rtl/>
        </w:rPr>
        <w:t xml:space="preserve"> ולא נקבע </w:t>
      </w:r>
      <w:r>
        <w:rPr>
          <w:rFonts w:ascii="Arial" w:hAnsi="Arial" w:cs="FrankRuehl"/>
          <w:noProof w:val="0"/>
          <w:sz w:val="28"/>
          <w:szCs w:val="28"/>
          <w:rtl/>
        </w:rPr>
        <w:t>–</w:t>
      </w:r>
      <w:r>
        <w:rPr>
          <w:rFonts w:ascii="Arial" w:hAnsi="Arial" w:cs="FrankRuehl" w:hint="cs"/>
          <w:noProof w:val="0"/>
          <w:sz w:val="28"/>
          <w:szCs w:val="28"/>
          <w:rtl/>
        </w:rPr>
        <w:t xml:space="preserve"> כי התמונות הועתקו, לא נמצא לי יסוד לקבוע כי הדבר היה מוליך קונה סביר לטעוֹת ולסבור כי מה, שהוא קונה מן הנתבעים, איננו המוצר שמכרו כי אם המוצר ששיווקה התובעת. </w:t>
      </w:r>
    </w:p>
    <w:p>
      <w:pPr>
        <w:spacing w:line="360" w:lineRule="auto"/>
        <w:ind w:firstLine="720"/>
        <w:jc w:val="both"/>
        <w:rPr>
          <w:rFonts w:ascii="Arial" w:hAnsi="Arial" w:cs="FrankRuehl"/>
          <w:noProof w:val="0"/>
          <w:sz w:val="28"/>
          <w:szCs w:val="28"/>
          <w:rtl/>
        </w:rPr>
      </w:pPr>
    </w:p>
    <w:p>
      <w:pPr>
        <w:spacing w:line="360" w:lineRule="auto"/>
        <w:jc w:val="both"/>
        <w:rPr>
          <w:rFonts w:ascii="Arial" w:hAnsi="Arial" w:cs="FrankRuehl"/>
          <w:noProof w:val="0"/>
          <w:sz w:val="28"/>
          <w:szCs w:val="28"/>
          <w:rtl/>
        </w:rPr>
      </w:pPr>
      <w:r>
        <w:rPr>
          <w:rFonts w:ascii="Arial" w:hAnsi="Arial" w:cs="FrankRuehl" w:hint="cs"/>
          <w:noProof w:val="0"/>
          <w:sz w:val="28"/>
          <w:szCs w:val="28"/>
          <w:rtl/>
        </w:rPr>
        <w:t>11.</w:t>
      </w:r>
      <w:r>
        <w:rPr>
          <w:rFonts w:ascii="Arial" w:hAnsi="Arial" w:cs="FrankRuehl" w:hint="cs"/>
          <w:noProof w:val="0"/>
          <w:sz w:val="28"/>
          <w:szCs w:val="28"/>
          <w:rtl/>
        </w:rPr>
        <w:tab/>
        <w:t xml:space="preserve">עשייתו של עושר </w:t>
      </w:r>
      <w:r>
        <w:rPr>
          <w:rFonts w:ascii="Arial" w:hAnsi="Arial" w:cs="FrankRuehl"/>
          <w:noProof w:val="0"/>
          <w:sz w:val="28"/>
          <w:szCs w:val="28"/>
          <w:rtl/>
        </w:rPr>
        <w:t>–</w:t>
      </w:r>
      <w:r>
        <w:rPr>
          <w:rFonts w:ascii="Arial" w:hAnsi="Arial" w:cs="FrankRuehl" w:hint="cs"/>
          <w:noProof w:val="0"/>
          <w:sz w:val="28"/>
          <w:szCs w:val="28"/>
          <w:rtl/>
        </w:rPr>
        <w:t xml:space="preserve"> לא הוכחה אף היא. ראשית, התובעת לא הוכיחה כי לנתבעים צמחו הכנסות כלשהן ממכירתו של המוצר, שהופיע בתמונות אשר פורסמו באתרי-האינטרנט שלהם. אמת, אחד הסעדים שנתבקשו כאן היה, כנזכר, ציווי למסור דו"חות מפורטים בדבר המכירות. ברם עתירה לסעד אחד אינה יכולה להחליף דרישה להוכחתו של סעד אחר. שנית, ועיקר, הואיל ולא </w:t>
      </w:r>
      <w:r>
        <w:rPr>
          <w:rFonts w:ascii="Arial" w:hAnsi="Arial" w:cs="FrankRuehl" w:hint="cs"/>
          <w:noProof w:val="0"/>
          <w:sz w:val="28"/>
          <w:szCs w:val="28"/>
          <w:rtl/>
        </w:rPr>
        <w:lastRenderedPageBreak/>
        <w:t xml:space="preserve">הוּכחה העתקתן של התמונות בידי הנתבעים, לא הוכח כי התעשרות, ככל שקמה בקשר לאותן תמונות, הייתה על חשבונה של התובעת. ממילא לא הוכח שום בסיס לחיובם של הנתבעים ב"מלוא התקבולים אשר נתקבלו אצלם ממכירת המוצר המפר". סעד זה הולך אחר טענה להתעשרות שלא כדין ממכירתו של </w:t>
      </w:r>
      <w:r>
        <w:rPr>
          <w:rFonts w:ascii="Arial" w:hAnsi="Arial" w:cs="Miriam" w:hint="cs"/>
          <w:noProof w:val="0"/>
          <w:rtl/>
        </w:rPr>
        <w:t>מוצר מפר</w:t>
      </w:r>
      <w:r>
        <w:rPr>
          <w:rFonts w:ascii="Arial" w:hAnsi="Arial" w:cs="FrankRuehl" w:hint="cs"/>
          <w:noProof w:val="0"/>
          <w:sz w:val="28"/>
          <w:szCs w:val="28"/>
          <w:rtl/>
        </w:rPr>
        <w:t xml:space="preserve">, ולא אחר טענות להעתקתן של התמונות. אין מקומו בתובענה זו. </w:t>
      </w:r>
    </w:p>
    <w:p>
      <w:pPr>
        <w:spacing w:after="120" w:line="360" w:lineRule="auto"/>
        <w:jc w:val="both"/>
        <w:rPr>
          <w:rFonts w:ascii="Arial" w:hAnsi="Arial" w:cs="Miriam"/>
          <w:noProof w:val="0"/>
          <w:rtl/>
        </w:rPr>
      </w:pPr>
    </w:p>
    <w:p>
      <w:pPr>
        <w:spacing w:after="120" w:line="360" w:lineRule="auto"/>
        <w:jc w:val="both"/>
        <w:rPr>
          <w:rFonts w:ascii="Arial" w:hAnsi="Arial" w:cs="FrankRuehl"/>
          <w:noProof w:val="0"/>
          <w:sz w:val="28"/>
          <w:szCs w:val="28"/>
          <w:rtl/>
        </w:rPr>
      </w:pPr>
      <w:r>
        <w:rPr>
          <w:rFonts w:ascii="Arial" w:hAnsi="Arial" w:cs="Miriam" w:hint="cs"/>
          <w:noProof w:val="0"/>
          <w:rtl/>
        </w:rPr>
        <w:t>התוצאה</w:t>
      </w:r>
    </w:p>
    <w:p>
      <w:pPr>
        <w:spacing w:line="360" w:lineRule="auto"/>
        <w:jc w:val="both"/>
        <w:rPr>
          <w:rFonts w:ascii="Arial" w:hAnsi="Arial" w:cs="FrankRuehl"/>
          <w:noProof w:val="0"/>
          <w:sz w:val="28"/>
          <w:szCs w:val="28"/>
          <w:rtl/>
        </w:rPr>
      </w:pPr>
      <w:r>
        <w:rPr>
          <w:rFonts w:ascii="Arial" w:hAnsi="Arial" w:cs="FrankRuehl" w:hint="cs"/>
          <w:noProof w:val="0"/>
          <w:sz w:val="28"/>
          <w:szCs w:val="28"/>
          <w:rtl/>
        </w:rPr>
        <w:t>12.</w:t>
      </w:r>
      <w:r>
        <w:rPr>
          <w:rFonts w:ascii="Arial" w:hAnsi="Arial" w:cs="FrankRuehl" w:hint="cs"/>
          <w:noProof w:val="0"/>
          <w:sz w:val="28"/>
          <w:szCs w:val="28"/>
          <w:rtl/>
        </w:rPr>
        <w:tab/>
        <w:t xml:space="preserve">לא אוכל לדעת אם הנתבעים חבים לתובעת דבר-מה במישור-מכירתו בישראל של מוצר זה או אחר. לא אדע אם תמונות, שהועלו לאתרי-האינטרנט של הנתבעים, היו זהות לתמונות שהציגה התובעת באתרהּ. ענין אחד נהיר הוא היטב: ראיות לכך שהתובעת יצרה יצירה; ראיות לכך שזכויותיה בְּיצירה הופרו; ראיות לעוולה של גניבת-עין וראיות להתעשרות שלא כדין על חשבונה של התובעת </w:t>
      </w:r>
      <w:r>
        <w:rPr>
          <w:rFonts w:ascii="Arial" w:hAnsi="Arial" w:cs="FrankRuehl"/>
          <w:noProof w:val="0"/>
          <w:sz w:val="28"/>
          <w:szCs w:val="28"/>
          <w:rtl/>
        </w:rPr>
        <w:t>–</w:t>
      </w:r>
      <w:r>
        <w:rPr>
          <w:rFonts w:ascii="Arial" w:hAnsi="Arial" w:cs="FrankRuehl" w:hint="cs"/>
          <w:noProof w:val="0"/>
          <w:sz w:val="28"/>
          <w:szCs w:val="28"/>
          <w:rtl/>
        </w:rPr>
        <w:t xml:space="preserve"> לא הונחו במידה הנדרשת לפניו של בית-המשפט. הדבר חורץ את גורלה של תובענה זו לשבט. </w:t>
      </w:r>
    </w:p>
    <w:p>
      <w:pPr>
        <w:spacing w:line="360" w:lineRule="auto"/>
        <w:ind w:firstLine="720"/>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hint="cs"/>
          <w:noProof w:val="0"/>
          <w:sz w:val="28"/>
          <w:szCs w:val="28"/>
          <w:rtl/>
        </w:rPr>
        <w:t xml:space="preserve">התביעה נדחית. בתוך 30 ימים מיום קבלתו של פסק-דין זה לידיה תשלם התובעת לכל אחת מקבוצות הנתבעים </w:t>
      </w:r>
      <w:r>
        <w:rPr>
          <w:rFonts w:ascii="Arial" w:hAnsi="Arial" w:cs="FrankRuehl"/>
          <w:noProof w:val="0"/>
          <w:sz w:val="28"/>
          <w:szCs w:val="28"/>
          <w:rtl/>
        </w:rPr>
        <w:t>–</w:t>
      </w:r>
      <w:r>
        <w:rPr>
          <w:rFonts w:ascii="Arial" w:hAnsi="Arial" w:cs="FrankRuehl" w:hint="cs"/>
          <w:noProof w:val="0"/>
          <w:sz w:val="28"/>
          <w:szCs w:val="28"/>
          <w:rtl/>
        </w:rPr>
        <w:t xml:space="preserve"> נתבעים 1 ו-2 מזה, ונתבעת 3 מזה </w:t>
      </w:r>
      <w:r>
        <w:rPr>
          <w:rFonts w:ascii="Arial" w:hAnsi="Arial" w:cs="FrankRuehl"/>
          <w:noProof w:val="0"/>
          <w:sz w:val="28"/>
          <w:szCs w:val="28"/>
          <w:rtl/>
        </w:rPr>
        <w:t>–</w:t>
      </w:r>
      <w:r>
        <w:rPr>
          <w:rFonts w:ascii="Arial" w:hAnsi="Arial" w:cs="FrankRuehl" w:hint="cs"/>
          <w:noProof w:val="0"/>
          <w:sz w:val="28"/>
          <w:szCs w:val="28"/>
          <w:rtl/>
        </w:rPr>
        <w:t xml:space="preserve"> הוצאות-משפט בסך 4,500 ש"ח ועוד שכר-טרחה של עורך-דין בסך, כולל מע"מ, של 14,000 ש"ח. </w:t>
      </w:r>
    </w:p>
    <w:p>
      <w:pPr>
        <w:spacing w:line="360" w:lineRule="auto"/>
        <w:jc w:val="both"/>
        <w:rPr>
          <w:rFonts w:ascii="Arial" w:hAnsi="Arial" w:cs="FrankRuehl"/>
          <w:noProof w:val="0"/>
          <w:sz w:val="28"/>
          <w:szCs w:val="28"/>
          <w:rtl/>
        </w:rPr>
      </w:pPr>
    </w:p>
    <w:p>
      <w:pPr>
        <w:spacing w:line="360" w:lineRule="auto"/>
        <w:ind w:firstLine="720"/>
        <w:jc w:val="both"/>
        <w:rPr>
          <w:rFonts w:ascii="Arial" w:hAnsi="Arial" w:cs="FrankRuehl"/>
          <w:noProof w:val="0"/>
          <w:sz w:val="28"/>
          <w:szCs w:val="28"/>
          <w:rtl/>
        </w:rPr>
      </w:pPr>
      <w:r>
        <w:rPr>
          <w:rFonts w:ascii="Arial" w:hAnsi="Arial" w:cs="FrankRuehl"/>
          <w:noProof w:val="0"/>
          <w:sz w:val="28"/>
          <w:szCs w:val="28"/>
          <w:rtl/>
        </w:rPr>
        <w:t>ניתן היום,</w:t>
      </w:r>
      <w:r>
        <w:rPr>
          <w:rFonts w:ascii="Arial" w:hAnsi="Arial" w:cs="FrankRuehl" w:hint="cs"/>
          <w:noProof w:val="0"/>
          <w:sz w:val="28"/>
          <w:szCs w:val="28"/>
          <w:rtl/>
        </w:rPr>
        <w:t xml:space="preserve"> ג' בסיון התשע"ז, 28 במאי 2017, שלא במעמד-הצדדים. </w:t>
      </w:r>
    </w:p>
    <w:p>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noProof w:val="0"/>
          <w:rtl/>
        </w:rPr>
        <w:tab/>
      </w:r>
      <w:sdt>
        <w:sdtPr>
          <w:rPr>
            <w:rFonts w:ascii="Arial" w:hAnsi="Arial" w:hint="cs"/>
            <w:noProof w:val="0"/>
            <w:rtl/>
          </w:rPr>
          <w:alias w:val="2045"/>
          <w:tag w:val="2045"/>
          <w:id w:val="1736736771"/>
          <w:placeholder>
            <w:docPart w:val="03459962B6984C23A2D5882F7D086C2E"/>
          </w:placeholder>
          <w:showingPlcHdr/>
          <w:text w:multiLine="1"/>
        </w:sdtPr>
        <w:sdtContent/>
      </w:sdt>
      <w:r>
        <w:rPr>
          <w:rFonts w:ascii="Arial" w:hAnsi="Arial" w:hint="cs"/>
          <w:noProof w:val="0"/>
          <w:rtl/>
        </w:rPr>
        <w:tab/>
      </w:r>
      <w:r>
        <w:rPr>
          <w:rFonts w:ascii="Arial" w:hAnsi="Arial" w:hint="cs"/>
          <w:noProof w:val="0"/>
          <w:rtl/>
        </w:rPr>
        <w:tab/>
      </w:r>
      <w:r>
        <w:rPr>
          <w:rFonts w:ascii="Arial" w:hAnsi="Arial"/>
          <w:noProof w:val="0"/>
          <w:rtl/>
        </w:rPr>
        <w:t xml:space="preserve"> </w:t>
      </w:r>
    </w:p>
    <w:p>
      <w:pPr>
        <w:spacing w:line="360" w:lineRule="auto"/>
        <w:ind w:left="5760" w:firstLine="720"/>
      </w:pPr>
      <w:sdt>
        <w:sdtPr>
          <w:rPr>
            <w:rtl/>
          </w:rPr>
          <w:alias w:val="MergeField"/>
          <w:tag w:val="1237"/>
          <w:id w:val="-1074194878"/>
        </w:sdtPr>
        <w:sdtContent>
          <w:r>
            <w:drawing>
              <wp:inline distT="0" distB="0" distL="0" distR="0">
                <wp:extent cx="14287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7" cstate="print">
                          <a:extLst/>
                        </a:blip>
                        <a:stretch>
                          <a:fillRect/>
                        </a:stretch>
                      </pic:blipFill>
                      <pic:spPr>
                        <a:xfrm>
                          <a:off x="0" y="0"/>
                          <a:ext cx="1428750" cy="876300"/>
                        </a:xfrm>
                        <a:prstGeom prst="rect">
                          <a:avLst/>
                        </a:prstGeom>
                      </pic:spPr>
                    </pic:pic>
                  </a:graphicData>
                </a:graphic>
              </wp:inline>
            </w:drawing>
          </w:r>
        </w:sdtContent>
      </w:sdt>
    </w:p>
    <w:p>
      <w:pPr>
        <w:spacing w:line="360" w:lineRule="auto"/>
        <w:ind w:left="5760" w:firstLine="720"/>
        <w:rPr>
          <w:rFonts w:ascii="Arial" w:hAnsi="Arial"/>
          <w:noProof w:val="0"/>
          <w:rtl/>
        </w:rPr>
      </w:pPr>
    </w:p>
    <w:sectPr>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center"/>
      <w:rPr>
        <w:rStyle w:val="ac"/>
      </w:rPr>
    </w:pPr>
    <w:r>
      <w:rPr>
        <w:rStyle w:val="ac"/>
      </w:rPr>
      <w:fldChar w:fldCharType="begin"/>
    </w:r>
    <w:r>
      <w:rPr>
        <w:rStyle w:val="ac"/>
      </w:rPr>
      <w:instrText xml:space="preserve"> PAGE </w:instrText>
    </w:r>
    <w:r>
      <w:rPr>
        <w:rStyle w:val="ac"/>
      </w:rPr>
      <w:fldChar w:fldCharType="separate"/>
    </w:r>
    <w:r>
      <w:rPr>
        <w:rStyle w:val="ac"/>
        <w:rtl/>
      </w:rPr>
      <w:t>4</w:t>
    </w:r>
    <w:r>
      <w:rPr>
        <w:rStyle w:val="ac"/>
      </w:rPr>
      <w:fldChar w:fldCharType="end"/>
    </w:r>
    <w:r>
      <w:rPr>
        <w:rStyle w:val="ac"/>
        <w:rFonts w:hint="cs"/>
        <w:rtl/>
      </w:rPr>
      <w:t xml:space="preserve"> מתוך </w:t>
    </w:r>
    <w:r>
      <w:rPr>
        <w:rStyle w:val="ac"/>
      </w:rPr>
      <w:fldChar w:fldCharType="begin"/>
    </w:r>
    <w:r>
      <w:rPr>
        <w:rStyle w:val="ac"/>
      </w:rPr>
      <w:instrText xml:space="preserve"> NUMPAGES </w:instrText>
    </w:r>
    <w:r>
      <w:rPr>
        <w:rStyle w:val="ac"/>
      </w:rPr>
      <w:fldChar w:fldCharType="separate"/>
    </w:r>
    <w:r>
      <w:rPr>
        <w:rStyle w:val="ac"/>
        <w:rtl/>
      </w:rPr>
      <w:t>8</w:t>
    </w:r>
    <w:r>
      <w:rPr>
        <w:rStyle w:val="a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jc w:val="center"/>
      <w:rPr>
        <w:rFonts w:cs="FrankRuehl"/>
        <w:noProof w:val="0"/>
        <w:sz w:val="28"/>
        <w:szCs w:val="28"/>
        <w:rtl/>
      </w:rPr>
    </w:pPr>
    <w:r>
      <w:rPr>
        <w:rFonts w:cs="FrankRuehl"/>
        <w:sz w:val="28"/>
        <w:szCs w:val="28"/>
      </w:rPr>
      <w:drawing>
        <wp:inline distT="0" distB="0" distL="0" distR="0">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3"/>
      <w:gridCol w:w="3582"/>
    </w:tblGrid>
    <w:tr>
      <w:trPr>
        <w:trHeight w:hRule="exact" w:val="670"/>
        <w:jc w:val="center"/>
      </w:trPr>
      <w:sdt>
        <w:sdtPr>
          <w:rPr>
            <w:sz w:val="32"/>
            <w:szCs w:val="32"/>
            <w:rtl/>
          </w:rPr>
          <w:alias w:val="1174"/>
          <w:tag w:val="1174"/>
          <w:id w:val="-1775709220"/>
          <w:text/>
        </w:sdtPr>
        <w:sdtContent>
          <w:tc>
            <w:tcPr>
              <w:tcW w:w="8721" w:type="dxa"/>
              <w:gridSpan w:val="2"/>
            </w:tcPr>
            <w:p>
              <w:pPr>
                <w:pStyle w:val="a3"/>
                <w:jc w:val="center"/>
                <w:rPr>
                  <w:rFonts w:ascii="Tahoma" w:hAnsi="Tahoma"/>
                  <w:noProof w:val="0"/>
                  <w:color w:val="000080"/>
                  <w:sz w:val="32"/>
                  <w:szCs w:val="32"/>
                  <w:rtl/>
                </w:rPr>
              </w:pPr>
              <w:r>
                <w:rPr>
                  <w:rFonts w:ascii="Tahoma" w:hAnsi="Tahoma"/>
                  <w:b/>
                  <w:bCs/>
                  <w:noProof w:val="0"/>
                  <w:color w:val="000080"/>
                  <w:sz w:val="32"/>
                  <w:szCs w:val="32"/>
                  <w:rtl/>
                </w:rPr>
                <w:t>בית</w:t>
              </w:r>
              <w:r>
                <w:rPr>
                  <w:rFonts w:ascii="Tahoma" w:hAnsi="Tahoma" w:hint="cs"/>
                  <w:b/>
                  <w:bCs/>
                  <w:noProof w:val="0"/>
                  <w:color w:val="000080"/>
                  <w:sz w:val="32"/>
                  <w:szCs w:val="32"/>
                  <w:rtl/>
                </w:rPr>
                <w:t>-</w:t>
              </w:r>
              <w:r>
                <w:rPr>
                  <w:rFonts w:ascii="Tahoma" w:hAnsi="Tahoma"/>
                  <w:b/>
                  <w:bCs/>
                  <w:noProof w:val="0"/>
                  <w:color w:val="000080"/>
                  <w:sz w:val="32"/>
                  <w:szCs w:val="32"/>
                  <w:rtl/>
                </w:rPr>
                <w:t>משפט השלום בתל אביב - יפו</w:t>
              </w:r>
            </w:p>
          </w:tc>
        </w:sdtContent>
      </w:sdt>
    </w:tr>
    <w:tr>
      <w:trPr>
        <w:trHeight w:val="337"/>
        <w:jc w:val="center"/>
      </w:trPr>
      <w:tc>
        <w:tcPr>
          <w:tcW w:w="5047" w:type="dxa"/>
        </w:tcPr>
        <w:p>
          <w:pPr>
            <w:rPr>
              <w:b/>
              <w:bCs/>
              <w:noProof w:val="0"/>
              <w:sz w:val="26"/>
              <w:szCs w:val="26"/>
              <w:rtl/>
            </w:rPr>
          </w:pPr>
        </w:p>
      </w:tc>
      <w:tc>
        <w:tcPr>
          <w:tcW w:w="3674" w:type="dxa"/>
        </w:tcPr>
        <w:p>
          <w:pPr>
            <w:pStyle w:val="a3"/>
            <w:jc w:val="right"/>
            <w:rPr>
              <w:b/>
              <w:bCs/>
              <w:noProof w:val="0"/>
              <w:sz w:val="26"/>
              <w:szCs w:val="26"/>
              <w:rtl/>
            </w:rPr>
          </w:pPr>
        </w:p>
      </w:tc>
    </w:tr>
    <w:tr>
      <w:trPr>
        <w:trHeight w:val="337"/>
        <w:jc w:val="center"/>
      </w:trPr>
      <w:tc>
        <w:tcPr>
          <w:tcW w:w="8721" w:type="dxa"/>
          <w:gridSpan w:val="2"/>
        </w:tcPr>
        <w:p>
          <w:pPr>
            <w:rPr>
              <w:b/>
              <w:bCs/>
              <w:noProof w:val="0"/>
              <w:sz w:val="26"/>
              <w:szCs w:val="26"/>
              <w:rtl/>
            </w:rPr>
          </w:pPr>
          <w:sdt>
            <w:sdtPr>
              <w:rPr>
                <w:b/>
                <w:bCs/>
                <w:noProof w:val="0"/>
                <w:sz w:val="26"/>
                <w:szCs w:val="26"/>
                <w:rtl/>
              </w:rPr>
              <w:alias w:val="1170"/>
              <w:tag w:val="1170"/>
              <w:id w:val="299038016"/>
              <w:text w:multiLine="1"/>
            </w:sdtPr>
            <w:sdtContent>
              <w:r>
                <w:rPr>
                  <w:b/>
                  <w:bCs/>
                  <w:noProof w:val="0"/>
                  <w:sz w:val="26"/>
                  <w:szCs w:val="26"/>
                  <w:rtl/>
                </w:rPr>
                <w:t>ת"א</w:t>
              </w:r>
            </w:sdtContent>
          </w:sdt>
          <w:r>
            <w:rPr>
              <w:b/>
              <w:bCs/>
              <w:noProof w:val="0"/>
              <w:sz w:val="26"/>
              <w:szCs w:val="26"/>
              <w:rtl/>
            </w:rPr>
            <w:t xml:space="preserve"> </w:t>
          </w:r>
          <w:bookmarkStart w:id="0" w:name="_GoBack"/>
          <w:sdt>
            <w:sdtPr>
              <w:rPr>
                <w:b/>
                <w:bCs/>
                <w:noProof w:val="0"/>
                <w:sz w:val="26"/>
                <w:szCs w:val="26"/>
                <w:rtl/>
              </w:rPr>
              <w:alias w:val="1171"/>
              <w:tag w:val="1171"/>
              <w:id w:val="81650337"/>
              <w:text w:multiLine="1"/>
            </w:sdtPr>
            <w:sdtContent>
              <w:r>
                <w:rPr>
                  <w:b/>
                  <w:bCs/>
                  <w:noProof w:val="0"/>
                  <w:sz w:val="26"/>
                  <w:szCs w:val="26"/>
                  <w:rtl/>
                </w:rPr>
                <w:t>12614-04-16</w:t>
              </w:r>
            </w:sdtContent>
          </w:sdt>
          <w:bookmarkEnd w:id="0"/>
          <w:r>
            <w:rPr>
              <w:b/>
              <w:bCs/>
              <w:noProof w:val="0"/>
              <w:sz w:val="26"/>
              <w:szCs w:val="26"/>
              <w:rtl/>
            </w:rPr>
            <w:t xml:space="preserve"> </w:t>
          </w:r>
          <w:sdt>
            <w:sdtPr>
              <w:rPr>
                <w:b/>
                <w:bCs/>
                <w:noProof w:val="0"/>
                <w:sz w:val="26"/>
                <w:szCs w:val="26"/>
                <w:rtl/>
              </w:rPr>
              <w:alias w:val="1172"/>
              <w:tag w:val="1172"/>
              <w:id w:val="-1742169342"/>
              <w:text w:multiLine="1"/>
            </w:sdtPr>
            <w:sdtContent>
              <w:r>
                <w:rPr>
                  <w:b/>
                  <w:bCs/>
                  <w:noProof w:val="0"/>
                  <w:sz w:val="26"/>
                  <w:szCs w:val="26"/>
                  <w:rtl/>
                </w:rPr>
                <w:t xml:space="preserve">שחורי תקשורת סלולרית בע"מ </w:t>
              </w:r>
              <w:r>
                <w:rPr>
                  <w:rFonts w:hint="cs"/>
                  <w:b/>
                  <w:bCs/>
                  <w:noProof w:val="0"/>
                  <w:sz w:val="26"/>
                  <w:szCs w:val="26"/>
                  <w:rtl/>
                </w:rPr>
                <w:t xml:space="preserve">                                     28 במאי 2017</w:t>
              </w:r>
              <w:r>
                <w:rPr>
                  <w:b/>
                  <w:bCs/>
                  <w:noProof w:val="0"/>
                  <w:sz w:val="26"/>
                  <w:szCs w:val="26"/>
                  <w:rtl/>
                </w:rPr>
                <w:br/>
                <w:t>נ' ברקום שיווק והפצה בע"מ ואח'</w:t>
              </w:r>
            </w:sdtContent>
          </w:sdt>
        </w:p>
        <w:p>
          <w:pPr>
            <w:rPr>
              <w:b/>
              <w:bCs/>
              <w:noProof w:val="0"/>
              <w:sz w:val="26"/>
              <w:szCs w:val="26"/>
              <w:rtl/>
            </w:rPr>
          </w:pPr>
        </w:p>
      </w:tc>
    </w:tr>
  </w:tbl>
  <w:p>
    <w:pPr>
      <w:pStyle w:val="a3"/>
      <w:rPr>
        <w:noProof w:val="0"/>
        <w:sz w:val="26"/>
        <w:szCs w:val="26"/>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noProof/>
      <w:sz w:val="24"/>
      <w:szCs w:val="24"/>
    </w:rPr>
  </w:style>
  <w:style w:type="paragraph" w:styleId="4">
    <w:name w:val="heading 4"/>
    <w:basedOn w:val="a"/>
    <w:next w:val="a"/>
    <w:qFormat/>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customStyle="1" w:styleId="a6">
    <w:name w:val="סעיפים"/>
    <w:basedOn w:val="a"/>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7">
    <w:name w:val="annotation text"/>
    <w:basedOn w:val="a"/>
    <w:semiHidden/>
    <w:rPr>
      <w:rFonts w:cs="Times New Roman"/>
      <w:noProof w:val="0"/>
    </w:rPr>
  </w:style>
  <w:style w:type="character" w:styleId="a8">
    <w:name w:val="annotation reference"/>
    <w:basedOn w:val="a0"/>
    <w:semiHidden/>
    <w:rPr>
      <w:sz w:val="16"/>
      <w:szCs w:val="16"/>
    </w:rPr>
  </w:style>
  <w:style w:type="paragraph" w:styleId="a9">
    <w:name w:val="Balloon Text"/>
    <w:basedOn w:val="a"/>
    <w:semiHidden/>
    <w:rPr>
      <w:rFonts w:ascii="Tahoma" w:hAnsi="Tahoma" w:cs="Tahoma"/>
      <w:sz w:val="16"/>
      <w:szCs w:val="16"/>
    </w:rPr>
  </w:style>
  <w:style w:type="table" w:styleId="aa">
    <w:name w:val="Table Grid"/>
    <w:basedOn w:val="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style>
  <w:style w:type="character" w:styleId="ac">
    <w:name w:val="page number"/>
    <w:basedOn w:val="a0"/>
  </w:style>
  <w:style w:type="table" w:customStyle="1" w:styleId="1">
    <w:name w:val="טבלת רשת1"/>
    <w:basedOn w:val="a1"/>
    <w:next w:val="a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Pr>
      <w:color w:val="808080"/>
    </w:rPr>
  </w:style>
  <w:style w:type="character" w:customStyle="1" w:styleId="a4">
    <w:name w:val="כותרת עליונה תו"/>
    <w:basedOn w:val="a0"/>
    <w:link w:val="a3"/>
    <w:uiPriority w:val="99"/>
    <w:locked/>
    <w:rPr>
      <w:rFonts w:cs="David"/>
      <w:noProof/>
      <w:sz w:val="24"/>
      <w:szCs w:val="24"/>
    </w:rPr>
  </w:style>
  <w:style w:type="character" w:customStyle="1" w:styleId="default">
    <w:name w:val="default"/>
    <w:basedOn w:val="a0"/>
    <w:rPr>
      <w:rFonts w:ascii="Times New Roman" w:hAnsi="Times New Roman" w:cs="Times New Roman"/>
      <w:sz w:val="26"/>
      <w:szCs w:val="26"/>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e">
    <w:name w:val="Title"/>
    <w:basedOn w:val="a"/>
    <w:link w:val="af"/>
    <w:qFormat/>
    <w:pPr>
      <w:shd w:val="pct20" w:color="auto" w:fill="FFFFFF"/>
      <w:spacing w:line="480" w:lineRule="auto"/>
      <w:ind w:left="1701" w:hanging="1701"/>
      <w:jc w:val="center"/>
    </w:pPr>
    <w:rPr>
      <w:rFonts w:cs="Times New Roman"/>
      <w:b/>
      <w:bCs/>
      <w:noProof w:val="0"/>
      <w:sz w:val="20"/>
      <w:szCs w:val="28"/>
      <w:u w:val="single"/>
      <w:lang w:eastAsia="he-IL"/>
    </w:rPr>
  </w:style>
  <w:style w:type="character" w:customStyle="1" w:styleId="af">
    <w:name w:val="כותרת טקסט תו"/>
    <w:basedOn w:val="a0"/>
    <w:link w:val="ae"/>
    <w:rPr>
      <w:b/>
      <w:bCs/>
      <w:szCs w:val="28"/>
      <w:u w:val="single"/>
      <w:shd w:val="pct20" w:color="auto" w:fill="FFFFF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5949">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448508283">
      <w:bodyDiv w:val="1"/>
      <w:marLeft w:val="0"/>
      <w:marRight w:val="0"/>
      <w:marTop w:val="0"/>
      <w:marBottom w:val="0"/>
      <w:divBdr>
        <w:top w:val="none" w:sz="0" w:space="0" w:color="auto"/>
        <w:left w:val="none" w:sz="0" w:space="0" w:color="auto"/>
        <w:bottom w:val="none" w:sz="0" w:space="0" w:color="auto"/>
        <w:right w:val="none" w:sz="0" w:space="0" w:color="auto"/>
      </w:divBdr>
    </w:div>
    <w:div w:id="1467042283">
      <w:bodyDiv w:val="1"/>
      <w:marLeft w:val="0"/>
      <w:marRight w:val="0"/>
      <w:marTop w:val="0"/>
      <w:marBottom w:val="0"/>
      <w:divBdr>
        <w:top w:val="none" w:sz="0" w:space="0" w:color="auto"/>
        <w:left w:val="none" w:sz="0" w:space="0" w:color="auto"/>
        <w:bottom w:val="none" w:sz="0" w:space="0" w:color="auto"/>
        <w:right w:val="none" w:sz="0" w:space="0" w:color="auto"/>
      </w:divBdr>
    </w:div>
    <w:div w:id="1516728595">
      <w:bodyDiv w:val="1"/>
      <w:marLeft w:val="0"/>
      <w:marRight w:val="0"/>
      <w:marTop w:val="0"/>
      <w:marBottom w:val="0"/>
      <w:divBdr>
        <w:top w:val="none" w:sz="0" w:space="0" w:color="auto"/>
        <w:left w:val="none" w:sz="0" w:space="0" w:color="auto"/>
        <w:bottom w:val="none" w:sz="0" w:space="0" w:color="auto"/>
        <w:right w:val="none" w:sz="0" w:space="0" w:color="auto"/>
      </w:divBdr>
    </w:div>
    <w:div w:id="1557274657">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20136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59962B6984C23A2D5882F7D086C2E"/>
        <w:category>
          <w:name w:val="כללי"/>
          <w:gallery w:val="placeholder"/>
        </w:category>
        <w:types>
          <w:type w:val="bbPlcHdr"/>
        </w:types>
        <w:behaviors>
          <w:behavior w:val="content"/>
        </w:behaviors>
        <w:guid w:val="{5E383C5D-E6B8-4517-AEE2-CFAFB9F0A071}"/>
      </w:docPartPr>
      <w:docPartBody>
        <w:p>
          <w:r>
            <w:rPr>
              <w:rStyle w:val="a3"/>
              <w:rtl/>
            </w:rPr>
            <w:t>סמן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11069</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תומר אפלדורף</cp:lastModifiedBy>
  <cp:revision>2</cp:revision>
  <dcterms:created xsi:type="dcterms:W3CDTF">2018-05-30T08:18:00Z</dcterms:created>
  <dcterms:modified xsi:type="dcterms:W3CDTF">2018-05-30T08:18:00Z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