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Ind w:w="4" w:type="dxa"/>
        <w:tblLook w:val="04A0" w:firstRow="1" w:lastRow="0" w:firstColumn="1" w:lastColumn="0" w:noHBand="0" w:noVBand="1"/>
      </w:tblPr>
      <w:tblGrid>
        <w:gridCol w:w="5658"/>
        <w:gridCol w:w="2139"/>
      </w:tblGrid>
      <w:tr>
        <w:trPr>
          <w:trHeight w:val="337"/>
        </w:trPr>
        <w:tc>
          <w:tcPr>
            <w:tcW w:w="5658" w:type="dxa"/>
          </w:tcPr>
          <w:p>
            <w:pPr>
              <w:rPr>
                <w:rFonts w:ascii="David" w:hAnsi="David"/>
                <w:b/>
                <w:bCs/>
                <w:sz w:val="26"/>
                <w:szCs w:val="26"/>
                <w:rtl/>
              </w:rPr>
            </w:pPr>
            <w:r>
              <w:rPr>
                <w:rFonts w:hint="cs"/>
                <w:b/>
                <w:bCs/>
                <w:sz w:val="26"/>
                <w:szCs w:val="26"/>
                <w:rtl/>
              </w:rPr>
              <w:t>לפני כב' השופט פרופ' עופר גרוסקופף</w:t>
            </w:r>
          </w:p>
          <w:p>
            <w:pPr>
              <w:rPr>
                <w:b/>
                <w:bCs/>
                <w:sz w:val="26"/>
                <w:szCs w:val="26"/>
              </w:rPr>
            </w:pPr>
          </w:p>
        </w:tc>
        <w:tc>
          <w:tcPr>
            <w:tcW w:w="2139" w:type="dxa"/>
          </w:tcPr>
          <w:p>
            <w:pPr>
              <w:pStyle w:val="a3"/>
              <w:jc w:val="both"/>
              <w:rPr>
                <w:b/>
                <w:bCs/>
                <w:sz w:val="26"/>
                <w:szCs w:val="26"/>
              </w:rPr>
            </w:pPr>
          </w:p>
        </w:tc>
      </w:tr>
    </w:tbl>
    <w:tbl>
      <w:tblPr>
        <w:tblStyle w:val="aa"/>
        <w:bidiVisual/>
        <w:tblW w:w="880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41"/>
        <w:gridCol w:w="5564"/>
      </w:tblGrid>
      <w:tr>
        <w:tc>
          <w:tcPr>
            <w:tcW w:w="3240" w:type="dxa"/>
          </w:tcPr>
          <w:p>
            <w:pPr>
              <w:ind w:left="26"/>
              <w:rPr>
                <w:b/>
                <w:bCs/>
                <w:sz w:val="26"/>
                <w:szCs w:val="26"/>
                <w:rtl/>
              </w:rPr>
            </w:pPr>
            <w:r>
              <w:rPr>
                <w:rFonts w:hint="cs"/>
                <w:b/>
                <w:bCs/>
                <w:sz w:val="26"/>
                <w:szCs w:val="26"/>
                <w:rtl/>
              </w:rPr>
              <w:t xml:space="preserve">המבקש בתיק </w:t>
            </w:r>
            <w:bookmarkStart w:id="0" w:name="OLE_LINK1"/>
            <w:bookmarkStart w:id="1" w:name="_GoBack"/>
            <w:r>
              <w:rPr>
                <w:rFonts w:hint="cs"/>
                <w:b/>
                <w:bCs/>
                <w:sz w:val="26"/>
                <w:szCs w:val="26"/>
                <w:rtl/>
              </w:rPr>
              <w:t>25595-08-14</w:t>
            </w:r>
            <w:bookmarkEnd w:id="0"/>
            <w:bookmarkEnd w:id="1"/>
          </w:p>
          <w:p>
            <w:pPr>
              <w:spacing w:before="120"/>
              <w:ind w:left="26"/>
              <w:rPr>
                <w:b/>
                <w:bCs/>
                <w:sz w:val="26"/>
                <w:szCs w:val="26"/>
              </w:rPr>
            </w:pPr>
            <w:r>
              <w:rPr>
                <w:rFonts w:hint="cs"/>
                <w:b/>
                <w:bCs/>
                <w:sz w:val="26"/>
                <w:szCs w:val="26"/>
                <w:rtl/>
              </w:rPr>
              <w:t>המבקשות בתיק 4850-0914</w:t>
            </w:r>
          </w:p>
        </w:tc>
        <w:tc>
          <w:tcPr>
            <w:tcW w:w="5562" w:type="dxa"/>
          </w:tcPr>
          <w:p>
            <w:pPr>
              <w:rPr>
                <w:b/>
                <w:bCs/>
                <w:sz w:val="26"/>
                <w:szCs w:val="26"/>
                <w:rtl/>
              </w:rPr>
            </w:pPr>
            <w:r>
              <w:rPr>
                <w:rFonts w:hint="cs"/>
                <w:b/>
                <w:bCs/>
                <w:sz w:val="26"/>
                <w:szCs w:val="26"/>
                <w:rtl/>
              </w:rPr>
              <w:t>1. דב פרי</w:t>
            </w:r>
          </w:p>
          <w:p>
            <w:pPr>
              <w:spacing w:before="120"/>
              <w:rPr>
                <w:b/>
                <w:bCs/>
                <w:sz w:val="26"/>
                <w:szCs w:val="26"/>
                <w:rtl/>
              </w:rPr>
            </w:pPr>
            <w:r>
              <w:rPr>
                <w:rFonts w:hint="cs"/>
                <w:b/>
                <w:bCs/>
                <w:sz w:val="26"/>
                <w:szCs w:val="26"/>
                <w:rtl/>
              </w:rPr>
              <w:t xml:space="preserve">2. יוכבד כהן </w:t>
            </w:r>
          </w:p>
          <w:p>
            <w:pPr>
              <w:rPr>
                <w:b/>
                <w:bCs/>
                <w:sz w:val="26"/>
                <w:szCs w:val="26"/>
                <w:rtl/>
              </w:rPr>
            </w:pPr>
            <w:r>
              <w:rPr>
                <w:rFonts w:hint="cs"/>
                <w:b/>
                <w:bCs/>
                <w:sz w:val="26"/>
                <w:szCs w:val="26"/>
                <w:rtl/>
              </w:rPr>
              <w:t>3. פרידה נוישטיין</w:t>
            </w:r>
          </w:p>
          <w:p>
            <w:pPr>
              <w:spacing w:before="120"/>
              <w:rPr>
                <w:sz w:val="26"/>
                <w:szCs w:val="26"/>
                <w:rtl/>
              </w:rPr>
            </w:pPr>
            <w:r>
              <w:rPr>
                <w:rFonts w:hint="cs"/>
                <w:sz w:val="26"/>
                <w:szCs w:val="26"/>
                <w:rtl/>
              </w:rPr>
              <w:t xml:space="preserve">ע"י באי כוחם עו"ד תומר אפלדורף ועו"ד זיו פרי </w:t>
            </w:r>
            <w:r>
              <w:rPr>
                <w:sz w:val="26"/>
                <w:szCs w:val="26"/>
                <w:rtl/>
              </w:rPr>
              <w:br/>
            </w:r>
            <w:r>
              <w:rPr>
                <w:rFonts w:hint="cs"/>
                <w:sz w:val="26"/>
                <w:szCs w:val="26"/>
                <w:rtl/>
              </w:rPr>
              <w:t>(להלן: "</w:t>
            </w:r>
            <w:r>
              <w:rPr>
                <w:rFonts w:hint="cs"/>
                <w:b/>
                <w:bCs/>
                <w:sz w:val="26"/>
                <w:szCs w:val="26"/>
                <w:rtl/>
              </w:rPr>
              <w:t>בא הכוח המייצג</w:t>
            </w:r>
            <w:r>
              <w:rPr>
                <w:rFonts w:hint="cs"/>
                <w:sz w:val="26"/>
                <w:szCs w:val="26"/>
                <w:rtl/>
              </w:rPr>
              <w:t>")</w:t>
            </w:r>
          </w:p>
          <w:p>
            <w:pPr>
              <w:rPr>
                <w:b/>
                <w:bCs/>
                <w:sz w:val="26"/>
                <w:szCs w:val="26"/>
              </w:rPr>
            </w:pPr>
          </w:p>
        </w:tc>
      </w:tr>
      <w:tr>
        <w:tc>
          <w:tcPr>
            <w:tcW w:w="8802" w:type="dxa"/>
            <w:gridSpan w:val="2"/>
          </w:tcPr>
          <w:p>
            <w:pPr>
              <w:jc w:val="both"/>
              <w:rPr>
                <w:rFonts w:ascii="Arial" w:hAnsi="Arial"/>
                <w:b/>
                <w:bCs/>
                <w:sz w:val="26"/>
                <w:szCs w:val="26"/>
                <w:rtl/>
              </w:rPr>
            </w:pPr>
          </w:p>
          <w:p>
            <w:pPr>
              <w:jc w:val="center"/>
              <w:rPr>
                <w:rFonts w:ascii="Arial" w:hAnsi="Arial"/>
                <w:b/>
                <w:bCs/>
                <w:sz w:val="26"/>
                <w:szCs w:val="26"/>
                <w:rtl/>
              </w:rPr>
            </w:pPr>
            <w:r>
              <w:rPr>
                <w:rFonts w:ascii="Arial" w:hAnsi="Arial" w:hint="cs"/>
                <w:b/>
                <w:bCs/>
                <w:sz w:val="26"/>
                <w:szCs w:val="26"/>
                <w:rtl/>
              </w:rPr>
              <w:t>נגד</w:t>
            </w:r>
          </w:p>
          <w:p>
            <w:pPr>
              <w:jc w:val="center"/>
              <w:rPr>
                <w:rFonts w:ascii="Arial" w:hAnsi="Arial"/>
                <w:b/>
                <w:bCs/>
                <w:sz w:val="26"/>
                <w:szCs w:val="26"/>
              </w:rPr>
            </w:pPr>
          </w:p>
        </w:tc>
      </w:tr>
      <w:tr>
        <w:tc>
          <w:tcPr>
            <w:tcW w:w="3240" w:type="dxa"/>
          </w:tcPr>
          <w:p>
            <w:pPr>
              <w:ind w:left="26"/>
              <w:rPr>
                <w:b/>
                <w:bCs/>
                <w:sz w:val="26"/>
                <w:szCs w:val="26"/>
                <w:rtl/>
              </w:rPr>
            </w:pPr>
            <w:r>
              <w:rPr>
                <w:rFonts w:hint="cs"/>
                <w:b/>
                <w:bCs/>
                <w:sz w:val="26"/>
                <w:szCs w:val="26"/>
                <w:rtl/>
              </w:rPr>
              <w:t>המשיבות בתיק 25595-08-14</w:t>
            </w:r>
          </w:p>
          <w:p>
            <w:pPr>
              <w:ind w:left="26"/>
              <w:rPr>
                <w:b/>
                <w:bCs/>
                <w:sz w:val="26"/>
                <w:szCs w:val="26"/>
                <w:rtl/>
              </w:rPr>
            </w:pPr>
          </w:p>
          <w:p>
            <w:pPr>
              <w:ind w:left="26"/>
              <w:rPr>
                <w:b/>
                <w:bCs/>
                <w:sz w:val="26"/>
                <w:szCs w:val="26"/>
                <w:rtl/>
              </w:rPr>
            </w:pPr>
          </w:p>
          <w:p>
            <w:pPr>
              <w:ind w:left="26"/>
              <w:rPr>
                <w:b/>
                <w:bCs/>
                <w:sz w:val="26"/>
                <w:szCs w:val="26"/>
                <w:rtl/>
              </w:rPr>
            </w:pPr>
          </w:p>
          <w:p>
            <w:pPr>
              <w:ind w:left="26"/>
              <w:rPr>
                <w:b/>
                <w:bCs/>
                <w:sz w:val="26"/>
                <w:szCs w:val="26"/>
                <w:rtl/>
              </w:rPr>
            </w:pPr>
          </w:p>
          <w:p>
            <w:pPr>
              <w:ind w:left="26"/>
              <w:rPr>
                <w:b/>
                <w:bCs/>
                <w:sz w:val="26"/>
                <w:szCs w:val="26"/>
                <w:rtl/>
              </w:rPr>
            </w:pPr>
          </w:p>
          <w:p>
            <w:pPr>
              <w:ind w:left="26"/>
              <w:rPr>
                <w:b/>
                <w:bCs/>
                <w:sz w:val="26"/>
                <w:szCs w:val="26"/>
                <w:rtl/>
              </w:rPr>
            </w:pPr>
          </w:p>
          <w:p>
            <w:pPr>
              <w:ind w:left="26"/>
              <w:rPr>
                <w:b/>
                <w:bCs/>
                <w:sz w:val="26"/>
                <w:szCs w:val="26"/>
                <w:rtl/>
              </w:rPr>
            </w:pPr>
          </w:p>
          <w:p>
            <w:pPr>
              <w:ind w:left="26"/>
              <w:rPr>
                <w:b/>
                <w:bCs/>
                <w:sz w:val="26"/>
                <w:szCs w:val="26"/>
                <w:rtl/>
              </w:rPr>
            </w:pPr>
          </w:p>
          <w:p>
            <w:pPr>
              <w:ind w:left="26"/>
              <w:rPr>
                <w:b/>
                <w:bCs/>
                <w:sz w:val="26"/>
                <w:szCs w:val="26"/>
              </w:rPr>
            </w:pPr>
            <w:r>
              <w:rPr>
                <w:rFonts w:hint="cs"/>
                <w:b/>
                <w:bCs/>
                <w:sz w:val="26"/>
                <w:szCs w:val="26"/>
                <w:rtl/>
              </w:rPr>
              <w:t>המשיבות בתיק 4850-09-14</w:t>
            </w:r>
          </w:p>
        </w:tc>
        <w:tc>
          <w:tcPr>
            <w:tcW w:w="5562" w:type="dxa"/>
          </w:tcPr>
          <w:p>
            <w:pPr>
              <w:rPr>
                <w:b/>
                <w:bCs/>
                <w:sz w:val="26"/>
                <w:szCs w:val="26"/>
                <w:rtl/>
              </w:rPr>
            </w:pPr>
            <w:r>
              <w:rPr>
                <w:rFonts w:hint="cs"/>
                <w:b/>
                <w:bCs/>
                <w:sz w:val="26"/>
                <w:szCs w:val="26"/>
                <w:rtl/>
              </w:rPr>
              <w:t>1. ניו לינאו סינמה (2006) בע"מ</w:t>
            </w:r>
          </w:p>
          <w:p>
            <w:pPr>
              <w:rPr>
                <w:sz w:val="26"/>
                <w:szCs w:val="26"/>
                <w:rtl/>
              </w:rPr>
            </w:pPr>
            <w:r>
              <w:rPr>
                <w:rFonts w:hint="cs"/>
                <w:sz w:val="26"/>
                <w:szCs w:val="26"/>
                <w:rtl/>
              </w:rPr>
              <w:t>ע"י בא כוחה עו"ד אוהד זלבסקי</w:t>
            </w:r>
          </w:p>
          <w:p>
            <w:pPr>
              <w:rPr>
                <w:b/>
                <w:bCs/>
                <w:sz w:val="26"/>
                <w:szCs w:val="26"/>
                <w:rtl/>
              </w:rPr>
            </w:pPr>
          </w:p>
          <w:p>
            <w:pPr>
              <w:rPr>
                <w:b/>
                <w:bCs/>
                <w:sz w:val="26"/>
                <w:szCs w:val="26"/>
                <w:rtl/>
              </w:rPr>
            </w:pPr>
            <w:r>
              <w:rPr>
                <w:rFonts w:hint="cs"/>
                <w:b/>
                <w:bCs/>
                <w:sz w:val="26"/>
                <w:szCs w:val="26"/>
                <w:rtl/>
              </w:rPr>
              <w:t>2. ת.י. תאטראות 2004 בע"מ</w:t>
            </w:r>
          </w:p>
          <w:p>
            <w:pPr>
              <w:rPr>
                <w:b/>
                <w:bCs/>
                <w:sz w:val="26"/>
                <w:szCs w:val="26"/>
                <w:rtl/>
              </w:rPr>
            </w:pPr>
            <w:r>
              <w:rPr>
                <w:rFonts w:hint="cs"/>
                <w:b/>
                <w:bCs/>
                <w:sz w:val="26"/>
                <w:szCs w:val="26"/>
                <w:rtl/>
              </w:rPr>
              <w:t>3. בתי קולנוע תאטראות בע"מ</w:t>
            </w:r>
          </w:p>
          <w:p>
            <w:pPr>
              <w:rPr>
                <w:b/>
                <w:bCs/>
                <w:sz w:val="26"/>
                <w:szCs w:val="26"/>
                <w:rtl/>
              </w:rPr>
            </w:pPr>
            <w:r>
              <w:rPr>
                <w:rFonts w:hint="cs"/>
                <w:b/>
                <w:bCs/>
                <w:sz w:val="26"/>
                <w:szCs w:val="26"/>
                <w:rtl/>
              </w:rPr>
              <w:t>4. תיאטראות ישראל בע"מ</w:t>
            </w:r>
          </w:p>
          <w:p>
            <w:pPr>
              <w:spacing w:before="120"/>
              <w:rPr>
                <w:sz w:val="26"/>
                <w:szCs w:val="26"/>
                <w:rtl/>
              </w:rPr>
            </w:pPr>
            <w:r>
              <w:rPr>
                <w:rFonts w:hint="cs"/>
                <w:sz w:val="26"/>
                <w:szCs w:val="26"/>
                <w:rtl/>
              </w:rPr>
              <w:t>ע"י בא כוחן עו"ד שאול שרצר</w:t>
            </w:r>
          </w:p>
          <w:p>
            <w:pPr>
              <w:rPr>
                <w:b/>
                <w:bCs/>
                <w:sz w:val="26"/>
                <w:szCs w:val="26"/>
                <w:rtl/>
              </w:rPr>
            </w:pPr>
          </w:p>
          <w:p>
            <w:pPr>
              <w:spacing w:before="120"/>
              <w:rPr>
                <w:b/>
                <w:bCs/>
                <w:sz w:val="26"/>
                <w:szCs w:val="26"/>
                <w:rtl/>
              </w:rPr>
            </w:pPr>
            <w:r>
              <w:rPr>
                <w:rFonts w:hint="cs"/>
                <w:b/>
                <w:bCs/>
                <w:sz w:val="26"/>
                <w:szCs w:val="26"/>
                <w:rtl/>
              </w:rPr>
              <w:t>5. התיאטרון הלאומי הבימה בע"מ(חל"צ)</w:t>
            </w:r>
          </w:p>
          <w:p>
            <w:pPr>
              <w:spacing w:before="120"/>
              <w:rPr>
                <w:sz w:val="26"/>
                <w:szCs w:val="26"/>
                <w:rtl/>
              </w:rPr>
            </w:pPr>
            <w:r>
              <w:rPr>
                <w:rFonts w:hint="cs"/>
                <w:sz w:val="26"/>
                <w:szCs w:val="26"/>
                <w:rtl/>
              </w:rPr>
              <w:t>ע"י באי כוחה עו"ד דורון טישמן ועו"ד אילן מדוויר</w:t>
            </w:r>
          </w:p>
          <w:p>
            <w:pPr>
              <w:rPr>
                <w:b/>
                <w:bCs/>
                <w:sz w:val="26"/>
                <w:szCs w:val="26"/>
                <w:rtl/>
              </w:rPr>
            </w:pPr>
          </w:p>
          <w:p>
            <w:pPr>
              <w:rPr>
                <w:b/>
                <w:bCs/>
                <w:sz w:val="26"/>
                <w:szCs w:val="26"/>
                <w:rtl/>
              </w:rPr>
            </w:pPr>
            <w:r>
              <w:rPr>
                <w:rFonts w:hint="cs"/>
                <w:b/>
                <w:bCs/>
                <w:sz w:val="26"/>
                <w:szCs w:val="26"/>
                <w:rtl/>
              </w:rPr>
              <w:t>6. סרטי שני בע"מ</w:t>
            </w:r>
          </w:p>
          <w:p>
            <w:pPr>
              <w:spacing w:before="120"/>
              <w:rPr>
                <w:b/>
                <w:bCs/>
                <w:sz w:val="26"/>
                <w:szCs w:val="26"/>
                <w:rtl/>
              </w:rPr>
            </w:pPr>
            <w:r>
              <w:rPr>
                <w:rFonts w:hint="cs"/>
                <w:sz w:val="26"/>
                <w:szCs w:val="26"/>
                <w:rtl/>
              </w:rPr>
              <w:t>ע"י בא כוחה עו"ד שאול שרצר</w:t>
            </w:r>
          </w:p>
          <w:p>
            <w:pPr>
              <w:rPr>
                <w:b/>
                <w:bCs/>
                <w:sz w:val="26"/>
                <w:szCs w:val="26"/>
              </w:rPr>
            </w:pPr>
          </w:p>
        </w:tc>
      </w:tr>
    </w:tbl>
    <w:p>
      <w:pPr>
        <w:rPr>
          <w:rStyle w:val="ab"/>
          <w:rtl/>
        </w:rPr>
      </w:pPr>
    </w:p>
    <w:p>
      <w:pPr>
        <w:rPr>
          <w:rStyle w:val="ab"/>
        </w:rPr>
      </w:pPr>
    </w:p>
    <w:tbl>
      <w:tblPr>
        <w:tblStyle w:val="aa"/>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trPr>
          <w:jc w:val="center"/>
        </w:trPr>
        <w:tc>
          <w:tcPr>
            <w:tcW w:w="8820" w:type="dxa"/>
          </w:tcPr>
          <w:p>
            <w:pPr>
              <w:bidi w:val="0"/>
              <w:jc w:val="center"/>
              <w:rPr>
                <w:rFonts w:ascii="Arial" w:hAnsi="Arial"/>
                <w:b/>
                <w:bCs/>
                <w:noProof w:val="0"/>
                <w:sz w:val="28"/>
                <w:szCs w:val="28"/>
                <w:u w:val="single"/>
              </w:rPr>
            </w:pPr>
            <w:r>
              <w:rPr>
                <w:rFonts w:ascii="Arial" w:hAnsi="Arial"/>
                <w:b/>
                <w:bCs/>
                <w:noProof w:val="0"/>
                <w:sz w:val="30"/>
                <w:szCs w:val="30"/>
                <w:u w:val="single"/>
                <w:rtl/>
              </w:rPr>
              <w:t>פסק דין</w:t>
            </w:r>
          </w:p>
        </w:tc>
      </w:tr>
    </w:tbl>
    <w:p>
      <w:pPr>
        <w:spacing w:line="360" w:lineRule="auto"/>
        <w:jc w:val="both"/>
        <w:rPr>
          <w:rFonts w:ascii="Arial" w:hAnsi="Arial"/>
          <w:noProof w:val="0"/>
          <w:rtl/>
        </w:rPr>
      </w:pPr>
    </w:p>
    <w:p>
      <w:pPr>
        <w:spacing w:beforeLines="120" w:before="288" w:afterLines="120" w:after="288" w:line="360" w:lineRule="auto"/>
        <w:contextualSpacing/>
        <w:jc w:val="center"/>
        <w:rPr>
          <w:rFonts w:asciiTheme="majorBidi" w:hAnsiTheme="majorBidi"/>
          <w:b/>
          <w:bCs/>
          <w:noProof w:val="0"/>
          <w:u w:val="single"/>
          <w:rtl/>
        </w:rPr>
      </w:pPr>
      <w:r>
        <w:rPr>
          <w:rFonts w:asciiTheme="majorBidi" w:hAnsiTheme="majorBidi" w:hint="cs"/>
          <w:b/>
          <w:bCs/>
          <w:noProof w:val="0"/>
          <w:u w:val="single"/>
          <w:rtl/>
        </w:rPr>
        <w:t>(</w:t>
      </w:r>
      <w:r>
        <w:rPr>
          <w:rFonts w:asciiTheme="majorBidi" w:hAnsiTheme="majorBidi"/>
          <w:b/>
          <w:bCs/>
          <w:noProof w:val="0"/>
          <w:u w:val="single"/>
          <w:rtl/>
        </w:rPr>
        <w:t>אישור הסדר פשרה בתובענ</w:t>
      </w:r>
      <w:r>
        <w:rPr>
          <w:rFonts w:asciiTheme="majorBidi" w:hAnsiTheme="majorBidi" w:hint="cs"/>
          <w:b/>
          <w:bCs/>
          <w:noProof w:val="0"/>
          <w:u w:val="single"/>
          <w:rtl/>
        </w:rPr>
        <w:t>ות</w:t>
      </w:r>
      <w:r>
        <w:rPr>
          <w:rFonts w:asciiTheme="majorBidi" w:hAnsiTheme="majorBidi"/>
          <w:b/>
          <w:bCs/>
          <w:noProof w:val="0"/>
          <w:u w:val="single"/>
          <w:rtl/>
        </w:rPr>
        <w:t xml:space="preserve"> ייצוגי</w:t>
      </w:r>
      <w:r>
        <w:rPr>
          <w:rFonts w:asciiTheme="majorBidi" w:hAnsiTheme="majorBidi" w:hint="cs"/>
          <w:b/>
          <w:bCs/>
          <w:noProof w:val="0"/>
          <w:u w:val="single"/>
          <w:rtl/>
        </w:rPr>
        <w:t>ו</w:t>
      </w:r>
      <w:r>
        <w:rPr>
          <w:rFonts w:asciiTheme="majorBidi" w:hAnsiTheme="majorBidi"/>
          <w:b/>
          <w:bCs/>
          <w:noProof w:val="0"/>
          <w:u w:val="single"/>
          <w:rtl/>
        </w:rPr>
        <w:t>ת</w:t>
      </w:r>
      <w:r>
        <w:rPr>
          <w:rFonts w:asciiTheme="majorBidi" w:hAnsiTheme="majorBidi" w:hint="cs"/>
          <w:b/>
          <w:bCs/>
          <w:noProof w:val="0"/>
          <w:u w:val="single"/>
          <w:rtl/>
        </w:rPr>
        <w:t>)</w:t>
      </w:r>
    </w:p>
    <w:p>
      <w:pPr>
        <w:spacing w:before="120" w:after="120" w:line="360" w:lineRule="auto"/>
        <w:jc w:val="both"/>
        <w:rPr>
          <w:noProof w:val="0"/>
          <w:rtl/>
        </w:rPr>
      </w:pPr>
    </w:p>
    <w:p>
      <w:pPr>
        <w:spacing w:before="120" w:after="120" w:line="360" w:lineRule="auto"/>
        <w:jc w:val="both"/>
        <w:rPr>
          <w:noProof w:val="0"/>
        </w:rPr>
      </w:pPr>
      <w:r>
        <w:rPr>
          <w:noProof w:val="0"/>
          <w:rtl/>
        </w:rPr>
        <w:t>לפני</w:t>
      </w:r>
      <w:r>
        <w:rPr>
          <w:rFonts w:hint="cs"/>
          <w:noProof w:val="0"/>
          <w:rtl/>
        </w:rPr>
        <w:t>י</w:t>
      </w:r>
      <w:r>
        <w:rPr>
          <w:noProof w:val="0"/>
          <w:rtl/>
        </w:rPr>
        <w:t xml:space="preserve"> בקשה לאישור הסדר פשרה בתובענות הייצוגיות שבכותרת. עניינן של התובענות הוא בטענת המבקשים כי המשיבות, חברות המ</w:t>
      </w:r>
      <w:r>
        <w:rPr>
          <w:rFonts w:hint="cs"/>
          <w:noProof w:val="0"/>
          <w:rtl/>
        </w:rPr>
        <w:t xml:space="preserve">קיימות </w:t>
      </w:r>
      <w:r>
        <w:rPr>
          <w:noProof w:val="0"/>
          <w:rtl/>
        </w:rPr>
        <w:t xml:space="preserve">מופעי בידור לקהל הרחב, </w:t>
      </w:r>
      <w:r>
        <w:rPr>
          <w:rFonts w:hint="cs"/>
          <w:noProof w:val="0"/>
          <w:rtl/>
        </w:rPr>
        <w:t xml:space="preserve">אינן נותנות </w:t>
      </w:r>
      <w:r>
        <w:rPr>
          <w:noProof w:val="0"/>
          <w:rtl/>
        </w:rPr>
        <w:t xml:space="preserve">הנחות לאזרחים ותיקים כאשר רכישת הכרטיסים התבצעה באתר האינטרנט או בטלפון. בעשותן כן, </w:t>
      </w:r>
      <w:r>
        <w:rPr>
          <w:rFonts w:hint="cs"/>
          <w:noProof w:val="0"/>
          <w:rtl/>
        </w:rPr>
        <w:t xml:space="preserve">כך </w:t>
      </w:r>
      <w:r>
        <w:rPr>
          <w:noProof w:val="0"/>
          <w:rtl/>
        </w:rPr>
        <w:t>נטען בבקשות האישור, ע</w:t>
      </w:r>
      <w:r>
        <w:rPr>
          <w:rFonts w:hint="cs"/>
          <w:noProof w:val="0"/>
          <w:rtl/>
        </w:rPr>
        <w:t xml:space="preserve">וברות </w:t>
      </w:r>
      <w:r>
        <w:rPr>
          <w:noProof w:val="0"/>
          <w:rtl/>
        </w:rPr>
        <w:t>המשיבות על החובה המוטלת עליהן לתת הנחות לאזרחים ותיקים, בהתאם להוראות סעיף 12 לחוק האזרחים הותיקים, התש"ן</w:t>
      </w:r>
      <w:r>
        <w:rPr>
          <w:rFonts w:hint="cs"/>
          <w:noProof w:val="0"/>
          <w:rtl/>
        </w:rPr>
        <w:t xml:space="preserve"> </w:t>
      </w:r>
      <w:r>
        <w:rPr>
          <w:noProof w:val="0"/>
          <w:rtl/>
        </w:rPr>
        <w:t>- 1989, ולתקנות האזרחים הותיקים (הנחות למופעי תרבות ולמוזיאונים), התשנ"ח</w:t>
      </w:r>
      <w:r>
        <w:rPr>
          <w:rFonts w:hint="cs"/>
          <w:noProof w:val="0"/>
          <w:rtl/>
        </w:rPr>
        <w:t xml:space="preserve"> </w:t>
      </w:r>
      <w:r>
        <w:rPr>
          <w:noProof w:val="0"/>
          <w:rtl/>
        </w:rPr>
        <w:t>- 1998</w:t>
      </w:r>
      <w:r>
        <w:rPr>
          <w:rFonts w:hint="cs"/>
          <w:noProof w:val="0"/>
          <w:rtl/>
        </w:rPr>
        <w:t xml:space="preserve"> (להלן: "</w:t>
      </w:r>
      <w:r>
        <w:rPr>
          <w:b/>
          <w:bCs/>
          <w:noProof w:val="0"/>
          <w:rtl/>
        </w:rPr>
        <w:t>החוק</w:t>
      </w:r>
      <w:r>
        <w:rPr>
          <w:rFonts w:hint="cs"/>
          <w:noProof w:val="0"/>
          <w:rtl/>
        </w:rPr>
        <w:t>"</w:t>
      </w:r>
      <w:r>
        <w:rPr>
          <w:noProof w:val="0"/>
          <w:rtl/>
        </w:rPr>
        <w:t xml:space="preserve"> ו</w:t>
      </w:r>
      <w:r>
        <w:rPr>
          <w:rFonts w:hint="cs"/>
          <w:noProof w:val="0"/>
          <w:rtl/>
        </w:rPr>
        <w:t>"</w:t>
      </w:r>
      <w:r>
        <w:rPr>
          <w:b/>
          <w:bCs/>
          <w:noProof w:val="0"/>
          <w:rtl/>
        </w:rPr>
        <w:t>התקנות</w:t>
      </w:r>
      <w:r>
        <w:rPr>
          <w:rFonts w:hint="cs"/>
          <w:noProof w:val="0"/>
          <w:rtl/>
        </w:rPr>
        <w:t>", בהתאמה)</w:t>
      </w:r>
      <w:r>
        <w:rPr>
          <w:noProof w:val="0"/>
          <w:rtl/>
        </w:rPr>
        <w:t xml:space="preserve">. </w:t>
      </w:r>
    </w:p>
    <w:p>
      <w:pPr>
        <w:spacing w:before="240" w:after="240" w:line="360" w:lineRule="auto"/>
        <w:rPr>
          <w:b/>
          <w:bCs/>
          <w:noProof w:val="0"/>
          <w:sz w:val="28"/>
          <w:szCs w:val="28"/>
          <w:rtl/>
        </w:rPr>
      </w:pPr>
    </w:p>
    <w:p>
      <w:pPr>
        <w:spacing w:before="240" w:after="240" w:line="360" w:lineRule="auto"/>
        <w:rPr>
          <w:b/>
          <w:bCs/>
          <w:noProof w:val="0"/>
          <w:sz w:val="28"/>
          <w:szCs w:val="28"/>
          <w:u w:val="single"/>
        </w:rPr>
      </w:pPr>
      <w:r>
        <w:rPr>
          <w:b/>
          <w:bCs/>
          <w:noProof w:val="0"/>
          <w:sz w:val="28"/>
          <w:szCs w:val="28"/>
          <w:rtl/>
        </w:rPr>
        <w:t>א.</w:t>
      </w:r>
      <w:r>
        <w:rPr>
          <w:b/>
          <w:bCs/>
          <w:noProof w:val="0"/>
          <w:sz w:val="28"/>
          <w:szCs w:val="28"/>
          <w:rtl/>
        </w:rPr>
        <w:tab/>
      </w:r>
      <w:r>
        <w:rPr>
          <w:b/>
          <w:bCs/>
          <w:noProof w:val="0"/>
          <w:sz w:val="28"/>
          <w:szCs w:val="28"/>
          <w:u w:val="single"/>
          <w:rtl/>
        </w:rPr>
        <w:t xml:space="preserve"> רקע </w:t>
      </w:r>
    </w:p>
    <w:p>
      <w:pPr>
        <w:rPr>
          <w:b/>
          <w:bCs/>
          <w:u w:val="single"/>
        </w:rPr>
      </w:pPr>
      <w:r>
        <w:rPr>
          <w:b/>
          <w:bCs/>
          <w:u w:val="single"/>
          <w:rtl/>
        </w:rPr>
        <w:lastRenderedPageBreak/>
        <w:t>תיק 25595-08-14:</w:t>
      </w:r>
    </w:p>
    <w:p>
      <w:pPr>
        <w:spacing w:before="240" w:after="100" w:line="360" w:lineRule="auto"/>
        <w:ind w:left="726" w:hanging="720"/>
        <w:jc w:val="both"/>
        <w:rPr>
          <w:rtl/>
        </w:rPr>
      </w:pPr>
      <w:r>
        <w:rPr>
          <w:rFonts w:hint="cs"/>
          <w:noProof w:val="0"/>
          <w:rtl/>
        </w:rPr>
        <w:t>1.</w:t>
      </w:r>
      <w:r>
        <w:rPr>
          <w:rFonts w:hint="cs"/>
          <w:noProof w:val="0"/>
          <w:rtl/>
        </w:rPr>
        <w:tab/>
      </w:r>
      <w:r>
        <w:rPr>
          <w:noProof w:val="0"/>
          <w:rtl/>
        </w:rPr>
        <w:t>ביום 18.08.2014 הגיש המבקש 1</w:t>
      </w:r>
      <w:r>
        <w:rPr>
          <w:rFonts w:hint="cs"/>
          <w:noProof w:val="0"/>
          <w:rtl/>
        </w:rPr>
        <w:t xml:space="preserve">, </w:t>
      </w:r>
      <w:r>
        <w:rPr>
          <w:noProof w:val="0"/>
          <w:rtl/>
        </w:rPr>
        <w:t xml:space="preserve">מר דב פרי, באמצעות בא </w:t>
      </w:r>
      <w:r>
        <w:rPr>
          <w:rFonts w:hint="cs"/>
          <w:noProof w:val="0"/>
          <w:rtl/>
        </w:rPr>
        <w:t>הכוח המייצג</w:t>
      </w:r>
      <w:r>
        <w:rPr>
          <w:noProof w:val="0"/>
          <w:rtl/>
        </w:rPr>
        <w:t>, תובענה ובקשה לאישורה כתובענה ייצוגית (להלן: "</w:t>
      </w:r>
      <w:r>
        <w:rPr>
          <w:b/>
          <w:bCs/>
          <w:noProof w:val="0"/>
          <w:rtl/>
        </w:rPr>
        <w:t>בקשת האישור בתיק הראשון"</w:t>
      </w:r>
      <w:r>
        <w:rPr>
          <w:noProof w:val="0"/>
          <w:rtl/>
        </w:rPr>
        <w:t>). על פי הנטען בבקשה, המשיב</w:t>
      </w:r>
      <w:r>
        <w:rPr>
          <w:rFonts w:hint="cs"/>
          <w:noProof w:val="0"/>
          <w:rtl/>
        </w:rPr>
        <w:t xml:space="preserve">ות 1 </w:t>
      </w:r>
      <w:r>
        <w:rPr>
          <w:noProof w:val="0"/>
          <w:rtl/>
        </w:rPr>
        <w:t>–</w:t>
      </w:r>
      <w:r>
        <w:rPr>
          <w:rFonts w:hint="cs"/>
          <w:noProof w:val="0"/>
          <w:rtl/>
        </w:rPr>
        <w:t xml:space="preserve"> 4, שהינן מפעילות של בתי קולנוע שונים ברחבי הארץ </w:t>
      </w:r>
      <w:r>
        <w:rPr>
          <w:noProof w:val="0"/>
          <w:rtl/>
        </w:rPr>
        <w:t xml:space="preserve">(להלן: </w:t>
      </w:r>
      <w:r>
        <w:rPr>
          <w:b/>
          <w:bCs/>
          <w:noProof w:val="0"/>
          <w:rtl/>
        </w:rPr>
        <w:t>"המשיבות בתיק הראשון"</w:t>
      </w:r>
      <w:r>
        <w:rPr>
          <w:noProof w:val="0"/>
          <w:rtl/>
        </w:rPr>
        <w:t>), נמנעות מלתת הנחות לאזרחים ותיקים ברכישת כרטיסי כניסה לסרטים ישראליים בבתי הקולנוע שהן מפעילות</w:t>
      </w:r>
      <w:r>
        <w:rPr>
          <w:rFonts w:hint="cs"/>
          <w:noProof w:val="0"/>
          <w:rtl/>
        </w:rPr>
        <w:t>,</w:t>
      </w:r>
      <w:r>
        <w:rPr>
          <w:noProof w:val="0"/>
          <w:rtl/>
        </w:rPr>
        <w:t xml:space="preserve"> כאשר הרכישה מתבצעת "מרחוק", קרי: באמצעות אתר האינטרנט או הטלפון, וזאת בניגוד ל</w:t>
      </w:r>
      <w:r>
        <w:rPr>
          <w:rFonts w:hint="cs"/>
          <w:noProof w:val="0"/>
          <w:rtl/>
        </w:rPr>
        <w:t>סעיף 12 לחוק ולתקנות</w:t>
      </w:r>
      <w:r>
        <w:rPr>
          <w:noProof w:val="0"/>
          <w:rtl/>
        </w:rPr>
        <w:t xml:space="preserve">. </w:t>
      </w:r>
      <w:r>
        <w:rPr>
          <w:rtl/>
        </w:rPr>
        <w:t xml:space="preserve">יתר על כן, המשיבות לא מאפשרות לאזרחים הותיקים שהזמינו כרטיסים בדרך זו לקבל את ההנחה כזיכוי על הסכום ששולם בזמן איסוף הכרטיסים שהוזמנו מראש בקופת בית הקולנוע. המבקש 1 טוען כי </w:t>
      </w:r>
      <w:r>
        <w:rPr>
          <w:rFonts w:hint="cs"/>
          <w:rtl/>
        </w:rPr>
        <w:t xml:space="preserve">בכך המשיבות 1 - 4 חוטאות במספר עילות, ובהן </w:t>
      </w:r>
      <w:r>
        <w:rPr>
          <w:rtl/>
        </w:rPr>
        <w:t>הפר</w:t>
      </w:r>
      <w:r>
        <w:rPr>
          <w:rFonts w:hint="cs"/>
          <w:rtl/>
        </w:rPr>
        <w:t>ת</w:t>
      </w:r>
      <w:r>
        <w:rPr>
          <w:rtl/>
        </w:rPr>
        <w:t xml:space="preserve"> חובה חקוקה, הפרת חוזה, חוסר תום לב בקיום חוזה, רשלנות ועשיית עושר ולא במשפט.</w:t>
      </w:r>
    </w:p>
    <w:p>
      <w:pPr>
        <w:tabs>
          <w:tab w:val="left" w:pos="397"/>
          <w:tab w:val="left" w:pos="794"/>
          <w:tab w:val="left" w:pos="1191"/>
          <w:tab w:val="left" w:pos="1588"/>
        </w:tabs>
        <w:spacing w:before="240" w:after="100" w:line="360" w:lineRule="auto"/>
        <w:ind w:left="720"/>
        <w:jc w:val="both"/>
        <w:rPr>
          <w:rtl/>
        </w:rPr>
      </w:pPr>
      <w:r>
        <w:rPr>
          <w:rtl/>
        </w:rPr>
        <w:t xml:space="preserve">המבקש 1 העריך את נזקו האישי בסך של 19 ש"ח עבור כל כרטיס שרכש מרחוק, ובסה"כ 38 ש"ח. לא ננקב </w:t>
      </w:r>
      <w:r>
        <w:rPr>
          <w:rFonts w:hint="cs"/>
          <w:rtl/>
        </w:rPr>
        <w:t>ה</w:t>
      </w:r>
      <w:r>
        <w:rPr>
          <w:rtl/>
        </w:rPr>
        <w:t xml:space="preserve">סכום </w:t>
      </w:r>
      <w:r>
        <w:rPr>
          <w:rFonts w:hint="cs"/>
          <w:rtl/>
        </w:rPr>
        <w:t xml:space="preserve">בו מוערך </w:t>
      </w:r>
      <w:r>
        <w:rPr>
          <w:rtl/>
        </w:rPr>
        <w:t>נזקה הכללי של הקבוצה.</w:t>
      </w:r>
    </w:p>
    <w:p>
      <w:pPr>
        <w:rPr>
          <w:b/>
          <w:bCs/>
          <w:u w:val="single"/>
          <w:rtl/>
        </w:rPr>
      </w:pPr>
    </w:p>
    <w:p>
      <w:pPr>
        <w:rPr>
          <w:b/>
          <w:bCs/>
          <w:u w:val="single"/>
        </w:rPr>
      </w:pPr>
      <w:r>
        <w:rPr>
          <w:b/>
          <w:bCs/>
          <w:u w:val="single"/>
          <w:rtl/>
        </w:rPr>
        <w:t>תיק 4850-09-14:</w:t>
      </w:r>
    </w:p>
    <w:p>
      <w:pPr>
        <w:spacing w:before="240" w:after="100" w:line="360" w:lineRule="auto"/>
        <w:ind w:left="726" w:hanging="720"/>
        <w:jc w:val="both"/>
      </w:pPr>
      <w:r>
        <w:rPr>
          <w:rFonts w:hint="cs"/>
          <w:rtl/>
        </w:rPr>
        <w:t>2.</w:t>
      </w:r>
      <w:r>
        <w:rPr>
          <w:rFonts w:hint="cs"/>
          <w:rtl/>
        </w:rPr>
        <w:tab/>
      </w:r>
      <w:r>
        <w:rPr>
          <w:rtl/>
        </w:rPr>
        <w:t>ביום 2.9.2014 הגישו המבקשת 2</w:t>
      </w:r>
      <w:r>
        <w:rPr>
          <w:rFonts w:hint="cs"/>
          <w:rtl/>
        </w:rPr>
        <w:t xml:space="preserve">, </w:t>
      </w:r>
      <w:r>
        <w:rPr>
          <w:rtl/>
        </w:rPr>
        <w:t>גב' יוכבד כהן והמבקשת 3</w:t>
      </w:r>
      <w:r>
        <w:rPr>
          <w:rFonts w:hint="cs"/>
          <w:rtl/>
        </w:rPr>
        <w:t xml:space="preserve">, </w:t>
      </w:r>
      <w:r>
        <w:rPr>
          <w:rtl/>
        </w:rPr>
        <w:t xml:space="preserve">גב' פרידה נוישטיין, באמצעות בא </w:t>
      </w:r>
      <w:r>
        <w:rPr>
          <w:rFonts w:hint="cs"/>
          <w:rtl/>
        </w:rPr>
        <w:t>הכוח המייצג</w:t>
      </w:r>
      <w:r>
        <w:rPr>
          <w:rtl/>
        </w:rPr>
        <w:t xml:space="preserve">, תובענה ובקשה לאשרה כתובענה ייצוגית (להלן: </w:t>
      </w:r>
      <w:r>
        <w:rPr>
          <w:b/>
          <w:bCs/>
          <w:rtl/>
        </w:rPr>
        <w:t>"בקשת האישור בתיק השני"</w:t>
      </w:r>
      <w:r>
        <w:rPr>
          <w:rtl/>
        </w:rPr>
        <w:t xml:space="preserve">). </w:t>
      </w:r>
      <w:r>
        <w:rPr>
          <w:rFonts w:hint="cs"/>
          <w:rtl/>
        </w:rPr>
        <w:t xml:space="preserve">בקשת האישור השניה מעלה כנגד </w:t>
      </w:r>
      <w:r>
        <w:rPr>
          <w:rtl/>
        </w:rPr>
        <w:t>המשיבה 5</w:t>
      </w:r>
      <w:r>
        <w:rPr>
          <w:rFonts w:hint="cs"/>
          <w:rtl/>
        </w:rPr>
        <w:t xml:space="preserve">, </w:t>
      </w:r>
      <w:r>
        <w:rPr>
          <w:rtl/>
        </w:rPr>
        <w:t xml:space="preserve">התיאטרון הלאומי הבימה בע"מ (חל"צ) </w:t>
      </w:r>
      <w:r>
        <w:rPr>
          <w:rFonts w:hint="cs"/>
          <w:rtl/>
        </w:rPr>
        <w:t>(להלן: "</w:t>
      </w:r>
      <w:r>
        <w:rPr>
          <w:rFonts w:hint="cs"/>
          <w:b/>
          <w:bCs/>
          <w:rtl/>
        </w:rPr>
        <w:t>תיאטרון הבימה</w:t>
      </w:r>
      <w:r>
        <w:rPr>
          <w:rFonts w:hint="cs"/>
          <w:rtl/>
        </w:rPr>
        <w:t xml:space="preserve">") </w:t>
      </w:r>
      <w:r>
        <w:rPr>
          <w:rtl/>
        </w:rPr>
        <w:t>והמשיבה 6</w:t>
      </w:r>
      <w:r>
        <w:rPr>
          <w:rFonts w:hint="cs"/>
          <w:rtl/>
        </w:rPr>
        <w:t xml:space="preserve">, </w:t>
      </w:r>
      <w:r>
        <w:rPr>
          <w:rtl/>
        </w:rPr>
        <w:t>סרטי שני בע"מ (להלן: "</w:t>
      </w:r>
      <w:r>
        <w:rPr>
          <w:b/>
          <w:bCs/>
          <w:rtl/>
        </w:rPr>
        <w:t>המשיבות בתיק השני"</w:t>
      </w:r>
      <w:r>
        <w:rPr>
          <w:rtl/>
        </w:rPr>
        <w:t>)</w:t>
      </w:r>
      <w:r>
        <w:rPr>
          <w:rFonts w:hint="cs"/>
          <w:rtl/>
        </w:rPr>
        <w:t xml:space="preserve"> טענות דומות לאלה שהועלו בבקשת האישור בתיק הראשון כלפי המשיבות 1 </w:t>
      </w:r>
      <w:r>
        <w:rPr>
          <w:rtl/>
        </w:rPr>
        <w:t>–</w:t>
      </w:r>
      <w:r>
        <w:rPr>
          <w:rFonts w:hint="cs"/>
          <w:rtl/>
        </w:rPr>
        <w:t xml:space="preserve"> 4 (וזאת בשינויים המחוייבים, הנובעים מכך שהמשיבה 5 מפעילה תיאטרון ולא בית קולנוע). </w:t>
      </w:r>
    </w:p>
    <w:p>
      <w:pPr>
        <w:spacing w:before="240" w:after="100" w:line="360" w:lineRule="auto"/>
        <w:ind w:left="720"/>
        <w:contextualSpacing/>
        <w:jc w:val="both"/>
      </w:pPr>
      <w:r>
        <w:rPr>
          <w:rtl/>
        </w:rPr>
        <w:t>המבקשת 2</w:t>
      </w:r>
      <w:r>
        <w:rPr>
          <w:rFonts w:hint="cs"/>
          <w:rtl/>
        </w:rPr>
        <w:t xml:space="preserve">, שעילתה היא כנגד תיאטרון הבימה, </w:t>
      </w:r>
      <w:r>
        <w:rPr>
          <w:rtl/>
        </w:rPr>
        <w:t xml:space="preserve">העריכה את נזקה האישי בסך של 124.5 ש"ח, והמבקשת 3 העריכה את נזקה האישי בסך של 19 ש"ח. </w:t>
      </w:r>
      <w:r>
        <w:rPr>
          <w:rFonts w:hint="cs"/>
          <w:rtl/>
        </w:rPr>
        <w:t xml:space="preserve">גם בתובענה זו </w:t>
      </w:r>
      <w:r>
        <w:rPr>
          <w:rtl/>
        </w:rPr>
        <w:t>לא ננקב סכום נזקה הכ</w:t>
      </w:r>
      <w:r>
        <w:rPr>
          <w:rFonts w:hint="cs"/>
          <w:rtl/>
        </w:rPr>
        <w:t>ו</w:t>
      </w:r>
      <w:r>
        <w:rPr>
          <w:rtl/>
        </w:rPr>
        <w:t>לל של הקבוצה.</w:t>
      </w:r>
    </w:p>
    <w:p>
      <w:pPr>
        <w:spacing w:before="240" w:after="100" w:line="360" w:lineRule="auto"/>
        <w:ind w:left="726" w:hanging="720"/>
        <w:jc w:val="both"/>
      </w:pPr>
      <w:r>
        <w:rPr>
          <w:rFonts w:hint="cs"/>
          <w:rtl/>
        </w:rPr>
        <w:t>3.</w:t>
      </w:r>
      <w:r>
        <w:rPr>
          <w:rFonts w:hint="cs"/>
          <w:rtl/>
        </w:rPr>
        <w:tab/>
      </w:r>
      <w:r>
        <w:rPr>
          <w:rtl/>
        </w:rPr>
        <w:t>בד בבד עם בקשת האישור בתיק השני, הוגשה בקשה לאיחוד דיון בין 2 התיקים. ביום 11.9.2014 התקבלה החלטת בית המשפט כי בקשת האישור בתיק הראשון ובקשת האישור בתיק השני מעוררות שאלות דומות של עובדה ומשפט, התיקים הוגדרו כ"תיקים קשורים" והדיונים בהם אוחדו.</w:t>
      </w:r>
    </w:p>
    <w:p>
      <w:pPr>
        <w:spacing w:before="240" w:after="100" w:line="360" w:lineRule="auto"/>
        <w:ind w:left="720" w:hanging="720"/>
        <w:jc w:val="both"/>
        <w:rPr>
          <w:rtl/>
        </w:rPr>
      </w:pPr>
      <w:r>
        <w:rPr>
          <w:rFonts w:hint="cs"/>
          <w:rtl/>
        </w:rPr>
        <w:t>4.</w:t>
      </w:r>
      <w:r>
        <w:rPr>
          <w:rFonts w:hint="cs"/>
          <w:rtl/>
        </w:rPr>
        <w:tab/>
      </w:r>
      <w:r>
        <w:rPr>
          <w:rtl/>
        </w:rPr>
        <w:t xml:space="preserve">ביום 19.1.2015 הגישה המשיבה 1 את תגובתה לבקשת האישור בתיק הראשון. המשיבה 1 טענה כי הדרישה בתקנות לקבלת ההטבה הינה הצגת תעודת אזרח ותיק במעמד קבלת ההנחה, ושההנחה תינתן בקופה שבה נמכרים הכרטיסים למופע. בהזמנת כרטיסים מרחוק, אין דרך לזהות ולאמת כי רוכש הכרטיסים הינו אזרח ותיק, כדרישת התקנות. התקנות בדבר ההנחה שתינתן לאזרחים ותיקים הותקנו בשנת 1998 ולכן ברי כי כוונת מתקין התקנות לא </w:t>
      </w:r>
      <w:r>
        <w:rPr>
          <w:rtl/>
        </w:rPr>
        <w:lastRenderedPageBreak/>
        <w:t xml:space="preserve">הייתה להעניק הנחה בעת רכישת כרטיסים מרחוק. בנוסף, טוענת המשיבה 1, כי אין כל דרך זמינה וסבירה לאתר את הקבוצה וממילא לקבוע את גודלה. </w:t>
      </w:r>
      <w:r>
        <w:rPr>
          <w:rFonts w:hint="cs"/>
          <w:rtl/>
        </w:rPr>
        <w:t>זאת ועוד</w:t>
      </w:r>
      <w:r>
        <w:rPr>
          <w:rtl/>
        </w:rPr>
        <w:t xml:space="preserve">, המשיבה 1 הבהירה כי היא מעניקה מיוזמתה הנחות לקבוצות שונות, ובכלל זה לאזרחים ותיקים, גם לסרטים שאינם ישראליים, על אף שהיא לא חייבת בכך. </w:t>
      </w:r>
    </w:p>
    <w:p>
      <w:pPr>
        <w:spacing w:before="240" w:after="100" w:line="360" w:lineRule="auto"/>
        <w:ind w:left="726" w:hanging="720"/>
        <w:jc w:val="both"/>
      </w:pPr>
      <w:r>
        <w:rPr>
          <w:rFonts w:hint="cs"/>
          <w:rtl/>
        </w:rPr>
        <w:t>5.</w:t>
      </w:r>
      <w:r>
        <w:rPr>
          <w:rFonts w:hint="cs"/>
          <w:rtl/>
        </w:rPr>
        <w:tab/>
      </w:r>
      <w:r>
        <w:rPr>
          <w:rtl/>
        </w:rPr>
        <w:t>ביום 28.1.2015 הגישה המשיבה</w:t>
      </w:r>
      <w:r>
        <w:rPr>
          <w:rFonts w:hint="cs"/>
          <w:rtl/>
        </w:rPr>
        <w:t xml:space="preserve"> </w:t>
      </w:r>
      <w:r>
        <w:rPr>
          <w:rtl/>
        </w:rPr>
        <w:t>5 את תגובתה לבקשת האישור בתיק השני. המשיבה 5 טענה כי היא הקפידה ומקפידה לאפשר לאזרחים ותיקים לרכוש כרטיסים בהנחות המגיעות להם על פי החוק והתקנות, הן כאשר הרכישה מתבצעת בקופת התאטרון, והן כאשר הרכישה מתבצעת מרחוק, קרי דרך האינטרנט או הטלפון. המשיבה 5 טענה כי באופן תדיר אזרחים ותיקים יכולים לרכוש כרטיסים מוזלים דרך האינטרנט, למעט תקופה קצרה מאוד בה, לכל היותר, אזרחים ותיקים בודדים רכשו כרטיסים במחיר מלא והיו זכאים לקבל החזר בגין מחצית מעלות הכרטיס. המשיבה 5 טוענת כי אזרחים ותיקים לא היו יכולים לרכוש כרטיסים בהנחה דרך האינטרנט בלבד (בעוד יכלו לרכוש כרטיסים בהנחה דרך הטלפון או בקופת התאטרון) רק ב</w:t>
      </w:r>
      <w:r>
        <w:rPr>
          <w:rFonts w:hint="cs"/>
          <w:rtl/>
        </w:rPr>
        <w:t xml:space="preserve">תקופת יולי </w:t>
      </w:r>
      <w:r>
        <w:rPr>
          <w:rtl/>
        </w:rPr>
        <w:t>–</w:t>
      </w:r>
      <w:r>
        <w:rPr>
          <w:rFonts w:hint="cs"/>
          <w:rtl/>
        </w:rPr>
        <w:t xml:space="preserve"> ספטמבר  2014</w:t>
      </w:r>
      <w:r>
        <w:rPr>
          <w:rtl/>
        </w:rPr>
        <w:t xml:space="preserve">, </w:t>
      </w:r>
      <w:r>
        <w:rPr>
          <w:rFonts w:hint="cs"/>
          <w:rtl/>
        </w:rPr>
        <w:t xml:space="preserve">שהייתה </w:t>
      </w:r>
      <w:r>
        <w:rPr>
          <w:rtl/>
        </w:rPr>
        <w:t xml:space="preserve">תקופת </w:t>
      </w:r>
      <w:r>
        <w:rPr>
          <w:rFonts w:hint="cs"/>
          <w:rtl/>
        </w:rPr>
        <w:t>ה</w:t>
      </w:r>
      <w:r>
        <w:rPr>
          <w:rtl/>
        </w:rPr>
        <w:t xml:space="preserve">הרצה של אתר האינטרנט החדש. בנוסף, אזרח ותיק שרכש כרטיס במחיר מלא דרך האינטרנט היה זכאי, ועודנו זכאי, להחזר עבור מחצית מעלות הרכישה. </w:t>
      </w:r>
    </w:p>
    <w:p>
      <w:pPr>
        <w:spacing w:before="240" w:after="100" w:line="360" w:lineRule="auto"/>
        <w:ind w:left="720"/>
        <w:jc w:val="both"/>
        <w:rPr>
          <w:rtl/>
        </w:rPr>
      </w:pPr>
      <w:r>
        <w:rPr>
          <w:rtl/>
        </w:rPr>
        <w:t>בנוסף, בכל תקופת ההרצה של האתר האינטרנט החדש, רכשו דרך האתר 811 כרטיסים על ידי כלל הציבור. אם באופן רגיל שיעור האזרחים הותיקים מתוך כלל קוני הכרטיסים עומד על פחות מ- 10%, ברור כי מספרם של האזרחים הותיקים הרוכשים כרטיס להצגה דרך האינטרנט קטן בהרבה, ועל כן יש אזרחים ותיקים בודדים שרכשו כרטיס במחיר מלא באמצעות אתר האינטרנט.</w:t>
      </w:r>
    </w:p>
    <w:p>
      <w:pPr>
        <w:spacing w:before="240" w:after="100" w:line="360" w:lineRule="auto"/>
        <w:ind w:left="720" w:hanging="714"/>
        <w:jc w:val="both"/>
        <w:rPr>
          <w:rtl/>
        </w:rPr>
      </w:pPr>
      <w:r>
        <w:rPr>
          <w:rFonts w:hint="cs"/>
          <w:rtl/>
        </w:rPr>
        <w:t>6.</w:t>
      </w:r>
      <w:r>
        <w:rPr>
          <w:rFonts w:hint="cs"/>
          <w:rtl/>
        </w:rPr>
        <w:tab/>
      </w:r>
      <w:r>
        <w:rPr>
          <w:rtl/>
        </w:rPr>
        <w:t xml:space="preserve">ביום 28.1.2015 הגישו המשיבות 2, 3, 4 ו-6 את תגובתן לבקשות האישור. המשיבות 2, 3, 4 ו-6 טענו כי כדי לקבל את ההנחה המגיעה לאזרחים ותיקים יש להציג תעודה מתאימה באותה הקופה בה נמכר הכרטיס. הדרישה של המבקשים לחייב את המשיבות 2, 3, 4 ו-6 לתת הנחה בקנייה דרך האינטרנט היא אינה אפשרית ומנוגדת ללשון התקנות. הצגת התעודה המזכה הינה תנאי יסודי ומהותי לקבלת ההנחה. הזיהוי של האזרח הותיק בקופה אינו יכול להתקיים ברכישת כרטיסים דרך האינטרנט. בנוסף, טענו המשיבות 2, 3, 4 ו-6 כי אין כל דרך להגדיר את הקבוצה ולכמת את הנזק הנטען. </w:t>
      </w:r>
    </w:p>
    <w:p>
      <w:pPr>
        <w:spacing w:before="240" w:after="100" w:line="360" w:lineRule="auto"/>
        <w:ind w:left="720" w:hanging="714"/>
        <w:contextualSpacing/>
        <w:jc w:val="both"/>
        <w:rPr>
          <w:rFonts w:asciiTheme="minorHAnsi" w:hAnsiTheme="minorHAnsi"/>
          <w:noProof w:val="0"/>
        </w:rPr>
      </w:pPr>
      <w:r>
        <w:rPr>
          <w:rFonts w:hint="cs"/>
          <w:rtl/>
        </w:rPr>
        <w:t>7.</w:t>
      </w:r>
      <w:r>
        <w:rPr>
          <w:rFonts w:hint="cs"/>
          <w:rtl/>
        </w:rPr>
        <w:tab/>
      </w:r>
      <w:r>
        <w:rPr>
          <w:rtl/>
        </w:rPr>
        <w:t xml:space="preserve">ביום 3.2.2015 הגישה המבקשת 2 (הגב' יוכבד כהן) בקשה </w:t>
      </w:r>
      <w:r>
        <w:rPr>
          <w:rFonts w:hint="cs"/>
          <w:rtl/>
        </w:rPr>
        <w:t xml:space="preserve">בהתאם לסעיף 16 לחוק </w:t>
      </w:r>
      <w:r>
        <w:rPr>
          <w:rtl/>
        </w:rPr>
        <w:t>תובענות ייצוגיות, התשס"ו- 2006</w:t>
      </w:r>
      <w:r>
        <w:rPr>
          <w:rFonts w:hint="cs"/>
          <w:rtl/>
        </w:rPr>
        <w:t xml:space="preserve"> </w:t>
      </w:r>
      <w:r>
        <w:rPr>
          <w:rtl/>
        </w:rPr>
        <w:t xml:space="preserve">להסתלקות מבקשת האישור בתיק השני כנגד המשיבה 5 (התיאטרון הלאומי הבימה בע"מ) ולפסיקת גמול ושכר טרחה (להלן: </w:t>
      </w:r>
      <w:r>
        <w:rPr>
          <w:b/>
          <w:bCs/>
          <w:rtl/>
        </w:rPr>
        <w:t>"בקשת ההסתלקות"</w:t>
      </w:r>
      <w:r>
        <w:rPr>
          <w:rtl/>
        </w:rPr>
        <w:t xml:space="preserve">). בבקשת ההסתלקות נכתב כי המשיבה 5 מוכנה לפצות את חברי הקבוצה שיוכיחו את זכאותם בגין הסכומים שנגבו מהם בעבר שלא כדין (הסכום שהצטבר היה לא גבוה בשל התקופה הקצרה </w:t>
      </w:r>
      <w:r>
        <w:rPr>
          <w:rFonts w:hint="cs"/>
          <w:rtl/>
        </w:rPr>
        <w:t xml:space="preserve">בה </w:t>
      </w:r>
      <w:r>
        <w:rPr>
          <w:rtl/>
        </w:rPr>
        <w:t xml:space="preserve">לא ניתנה ההנחה), ובנוסף המשיבה 5 תיקנה את התנהלותה בנוגע למתן </w:t>
      </w:r>
      <w:r>
        <w:rPr>
          <w:rtl/>
        </w:rPr>
        <w:lastRenderedPageBreak/>
        <w:t xml:space="preserve">הנחות לאזרחים ותיקים בעתיד, והיא מאפשרת רכישת כרטיסים בהנחה באתר האינטרנט המופעל על ידה. בנסיבות אלו, הליך הבקשה לתביעה ייצוגית השיג את מטרותיו, הן לגביי פיצוי על נזקי העבר והן לגביי מתן הנחה ברכישת כרטיסים בעתיד, מה שמייתר את הצורך בהמשך בירור ההליך. </w:t>
      </w:r>
    </w:p>
    <w:p>
      <w:pPr>
        <w:spacing w:before="240" w:after="100" w:line="360" w:lineRule="auto"/>
        <w:ind w:left="366"/>
        <w:contextualSpacing/>
        <w:jc w:val="both"/>
        <w:rPr>
          <w:rtl/>
        </w:rPr>
      </w:pPr>
    </w:p>
    <w:p>
      <w:pPr>
        <w:spacing w:before="240" w:after="100" w:line="360" w:lineRule="auto"/>
        <w:ind w:left="720"/>
        <w:contextualSpacing/>
        <w:jc w:val="both"/>
        <w:rPr>
          <w:rFonts w:asciiTheme="minorHAnsi" w:hAnsiTheme="minorHAnsi"/>
          <w:noProof w:val="0"/>
        </w:rPr>
      </w:pPr>
      <w:r>
        <w:rPr>
          <w:rtl/>
        </w:rPr>
        <w:t>עוד ביקשה המבקשת 2 כי ייפסק לה גמול ושכר טרחה לבאי כוחה בגין בקשת האישור בשים לב לכך שההליך השיג את מטרותיו, לתועלת שההליך הביא, ולחשיבות הציבורית של הגנה על זכויותיהם של קבוצת צרכנים מוחלשת.</w:t>
      </w:r>
      <w:r>
        <w:rPr>
          <w:rFonts w:asciiTheme="minorHAnsi" w:hAnsiTheme="minorHAnsi"/>
          <w:noProof w:val="0"/>
          <w:rtl/>
        </w:rPr>
        <w:t xml:space="preserve"> </w:t>
      </w:r>
      <w:r>
        <w:rPr>
          <w:rFonts w:asciiTheme="minorHAnsi" w:hAnsiTheme="minorHAnsi" w:hint="eastAsia"/>
          <w:noProof w:val="0"/>
          <w:rtl/>
        </w:rPr>
        <w:t>המבקשת</w:t>
      </w:r>
      <w:r>
        <w:rPr>
          <w:rFonts w:asciiTheme="minorHAnsi" w:hAnsiTheme="minorHAnsi"/>
          <w:noProof w:val="0"/>
          <w:rtl/>
        </w:rPr>
        <w:t xml:space="preserve"> </w:t>
      </w:r>
      <w:r>
        <w:rPr>
          <w:rFonts w:asciiTheme="minorHAnsi" w:hAnsiTheme="minorHAnsi" w:hint="eastAsia"/>
          <w:noProof w:val="0"/>
          <w:rtl/>
        </w:rPr>
        <w:t>ובאי</w:t>
      </w:r>
      <w:r>
        <w:rPr>
          <w:rFonts w:asciiTheme="minorHAnsi" w:hAnsiTheme="minorHAnsi"/>
          <w:noProof w:val="0"/>
          <w:rtl/>
        </w:rPr>
        <w:t xml:space="preserve"> </w:t>
      </w:r>
      <w:r>
        <w:rPr>
          <w:rFonts w:asciiTheme="minorHAnsi" w:hAnsiTheme="minorHAnsi" w:hint="eastAsia"/>
          <w:noProof w:val="0"/>
          <w:rtl/>
        </w:rPr>
        <w:t>כוחה</w:t>
      </w:r>
      <w:r>
        <w:rPr>
          <w:rFonts w:asciiTheme="minorHAnsi" w:hAnsiTheme="minorHAnsi"/>
          <w:noProof w:val="0"/>
          <w:rtl/>
        </w:rPr>
        <w:t xml:space="preserve"> </w:t>
      </w:r>
      <w:r>
        <w:rPr>
          <w:rFonts w:asciiTheme="minorHAnsi" w:hAnsiTheme="minorHAnsi" w:hint="eastAsia"/>
          <w:noProof w:val="0"/>
          <w:rtl/>
        </w:rPr>
        <w:t>סבורים</w:t>
      </w:r>
      <w:r>
        <w:rPr>
          <w:rFonts w:asciiTheme="minorHAnsi" w:hAnsiTheme="minorHAnsi"/>
          <w:noProof w:val="0"/>
          <w:rtl/>
        </w:rPr>
        <w:t xml:space="preserve"> </w:t>
      </w:r>
      <w:r>
        <w:rPr>
          <w:rFonts w:asciiTheme="minorHAnsi" w:hAnsiTheme="minorHAnsi" w:hint="eastAsia"/>
          <w:noProof w:val="0"/>
          <w:rtl/>
        </w:rPr>
        <w:t>כי</w:t>
      </w:r>
      <w:r>
        <w:rPr>
          <w:rFonts w:asciiTheme="minorHAnsi" w:hAnsiTheme="minorHAnsi"/>
          <w:noProof w:val="0"/>
          <w:rtl/>
        </w:rPr>
        <w:t xml:space="preserve"> </w:t>
      </w:r>
      <w:r>
        <w:rPr>
          <w:rFonts w:asciiTheme="minorHAnsi" w:hAnsiTheme="minorHAnsi" w:hint="eastAsia"/>
          <w:noProof w:val="0"/>
          <w:rtl/>
        </w:rPr>
        <w:t>מן</w:t>
      </w:r>
      <w:r>
        <w:rPr>
          <w:rFonts w:asciiTheme="minorHAnsi" w:hAnsiTheme="minorHAnsi"/>
          <w:noProof w:val="0"/>
          <w:rtl/>
        </w:rPr>
        <w:t xml:space="preserve"> </w:t>
      </w:r>
      <w:r>
        <w:rPr>
          <w:rFonts w:asciiTheme="minorHAnsi" w:hAnsiTheme="minorHAnsi" w:hint="eastAsia"/>
          <w:noProof w:val="0"/>
          <w:rtl/>
        </w:rPr>
        <w:t>הראוי</w:t>
      </w:r>
      <w:r>
        <w:rPr>
          <w:rFonts w:asciiTheme="minorHAnsi" w:hAnsiTheme="minorHAnsi"/>
          <w:noProof w:val="0"/>
          <w:rtl/>
        </w:rPr>
        <w:t xml:space="preserve"> </w:t>
      </w:r>
      <w:r>
        <w:rPr>
          <w:rFonts w:asciiTheme="minorHAnsi" w:hAnsiTheme="minorHAnsi" w:hint="eastAsia"/>
          <w:noProof w:val="0"/>
          <w:rtl/>
        </w:rPr>
        <w:t>לפסוק</w:t>
      </w:r>
      <w:r>
        <w:rPr>
          <w:rFonts w:asciiTheme="minorHAnsi" w:hAnsiTheme="minorHAnsi"/>
          <w:noProof w:val="0"/>
          <w:rtl/>
        </w:rPr>
        <w:t xml:space="preserve"> </w:t>
      </w:r>
      <w:r>
        <w:rPr>
          <w:rFonts w:asciiTheme="minorHAnsi" w:hAnsiTheme="minorHAnsi" w:hint="eastAsia"/>
          <w:noProof w:val="0"/>
          <w:rtl/>
        </w:rPr>
        <w:t>למבקשת</w:t>
      </w:r>
      <w:r>
        <w:rPr>
          <w:rFonts w:asciiTheme="minorHAnsi" w:hAnsiTheme="minorHAnsi"/>
          <w:noProof w:val="0"/>
          <w:rtl/>
        </w:rPr>
        <w:t xml:space="preserve"> </w:t>
      </w:r>
      <w:r>
        <w:rPr>
          <w:rFonts w:asciiTheme="minorHAnsi" w:hAnsiTheme="minorHAnsi" w:hint="eastAsia"/>
          <w:noProof w:val="0"/>
          <w:rtl/>
        </w:rPr>
        <w:t>גמול</w:t>
      </w:r>
      <w:r>
        <w:rPr>
          <w:rFonts w:asciiTheme="minorHAnsi" w:hAnsiTheme="minorHAnsi"/>
          <w:noProof w:val="0"/>
          <w:rtl/>
        </w:rPr>
        <w:t xml:space="preserve"> </w:t>
      </w:r>
      <w:r>
        <w:rPr>
          <w:rFonts w:asciiTheme="minorHAnsi" w:hAnsiTheme="minorHAnsi" w:hint="eastAsia"/>
          <w:noProof w:val="0"/>
          <w:rtl/>
        </w:rPr>
        <w:t>בסך</w:t>
      </w:r>
      <w:r>
        <w:rPr>
          <w:rFonts w:asciiTheme="minorHAnsi" w:hAnsiTheme="minorHAnsi"/>
          <w:noProof w:val="0"/>
          <w:rtl/>
        </w:rPr>
        <w:t xml:space="preserve"> </w:t>
      </w:r>
      <w:r>
        <w:rPr>
          <w:rFonts w:asciiTheme="minorHAnsi" w:hAnsiTheme="minorHAnsi" w:hint="eastAsia"/>
          <w:noProof w:val="0"/>
          <w:rtl/>
        </w:rPr>
        <w:t>של</w:t>
      </w:r>
      <w:r>
        <w:rPr>
          <w:rFonts w:asciiTheme="minorHAnsi" w:hAnsiTheme="minorHAnsi"/>
          <w:noProof w:val="0"/>
          <w:rtl/>
        </w:rPr>
        <w:t xml:space="preserve"> </w:t>
      </w:r>
      <w:r>
        <w:rPr>
          <w:rFonts w:asciiTheme="minorHAnsi" w:hAnsiTheme="minorHAnsi" w:hint="eastAsia"/>
          <w:noProof w:val="0"/>
          <w:rtl/>
        </w:rPr>
        <w:t>כ</w:t>
      </w:r>
      <w:r>
        <w:rPr>
          <w:rFonts w:asciiTheme="minorHAnsi" w:hAnsiTheme="minorHAnsi"/>
          <w:noProof w:val="0"/>
          <w:rtl/>
        </w:rPr>
        <w:t xml:space="preserve">- 20,000 </w:t>
      </w:r>
      <w:r>
        <w:rPr>
          <w:rFonts w:asciiTheme="minorHAnsi" w:hAnsiTheme="minorHAnsi" w:hint="eastAsia"/>
          <w:noProof w:val="0"/>
          <w:rtl/>
        </w:rPr>
        <w:t>ש</w:t>
      </w:r>
      <w:r>
        <w:rPr>
          <w:rFonts w:asciiTheme="minorHAnsi" w:hAnsiTheme="minorHAnsi"/>
          <w:noProof w:val="0"/>
          <w:rtl/>
        </w:rPr>
        <w:t>"</w:t>
      </w:r>
      <w:r>
        <w:rPr>
          <w:rFonts w:asciiTheme="minorHAnsi" w:hAnsiTheme="minorHAnsi" w:hint="eastAsia"/>
          <w:noProof w:val="0"/>
          <w:rtl/>
        </w:rPr>
        <w:t>ח</w:t>
      </w:r>
      <w:r>
        <w:rPr>
          <w:rFonts w:asciiTheme="minorHAnsi" w:hAnsiTheme="minorHAnsi"/>
          <w:noProof w:val="0"/>
          <w:rtl/>
        </w:rPr>
        <w:t xml:space="preserve">, </w:t>
      </w:r>
      <w:r>
        <w:rPr>
          <w:rFonts w:asciiTheme="minorHAnsi" w:hAnsiTheme="minorHAnsi" w:hint="eastAsia"/>
          <w:noProof w:val="0"/>
          <w:rtl/>
        </w:rPr>
        <w:t>ולבאי</w:t>
      </w:r>
      <w:r>
        <w:rPr>
          <w:rFonts w:asciiTheme="minorHAnsi" w:hAnsiTheme="minorHAnsi"/>
          <w:noProof w:val="0"/>
          <w:rtl/>
        </w:rPr>
        <w:t xml:space="preserve"> </w:t>
      </w:r>
      <w:r>
        <w:rPr>
          <w:rFonts w:asciiTheme="minorHAnsi" w:hAnsiTheme="minorHAnsi" w:hint="eastAsia"/>
          <w:noProof w:val="0"/>
          <w:rtl/>
        </w:rPr>
        <w:t>כוחה</w:t>
      </w:r>
      <w:r>
        <w:rPr>
          <w:rFonts w:asciiTheme="minorHAnsi" w:hAnsiTheme="minorHAnsi"/>
          <w:noProof w:val="0"/>
          <w:rtl/>
        </w:rPr>
        <w:t xml:space="preserve"> </w:t>
      </w:r>
      <w:r>
        <w:rPr>
          <w:rFonts w:asciiTheme="minorHAnsi" w:hAnsiTheme="minorHAnsi" w:hint="eastAsia"/>
          <w:noProof w:val="0"/>
          <w:rtl/>
        </w:rPr>
        <w:t>שכר</w:t>
      </w:r>
      <w:r>
        <w:rPr>
          <w:rFonts w:asciiTheme="minorHAnsi" w:hAnsiTheme="minorHAnsi"/>
          <w:noProof w:val="0"/>
          <w:rtl/>
        </w:rPr>
        <w:t xml:space="preserve"> </w:t>
      </w:r>
      <w:r>
        <w:rPr>
          <w:rFonts w:asciiTheme="minorHAnsi" w:hAnsiTheme="minorHAnsi" w:hint="eastAsia"/>
          <w:noProof w:val="0"/>
          <w:rtl/>
        </w:rPr>
        <w:t>טרחה</w:t>
      </w:r>
      <w:r>
        <w:rPr>
          <w:rFonts w:asciiTheme="minorHAnsi" w:hAnsiTheme="minorHAnsi"/>
          <w:noProof w:val="0"/>
          <w:rtl/>
        </w:rPr>
        <w:t xml:space="preserve"> </w:t>
      </w:r>
      <w:r>
        <w:rPr>
          <w:rFonts w:asciiTheme="minorHAnsi" w:hAnsiTheme="minorHAnsi" w:hint="eastAsia"/>
          <w:noProof w:val="0"/>
          <w:rtl/>
        </w:rPr>
        <w:t>בסך</w:t>
      </w:r>
      <w:r>
        <w:rPr>
          <w:rFonts w:asciiTheme="minorHAnsi" w:hAnsiTheme="minorHAnsi"/>
          <w:noProof w:val="0"/>
          <w:rtl/>
        </w:rPr>
        <w:t xml:space="preserve"> </w:t>
      </w:r>
      <w:r>
        <w:rPr>
          <w:rFonts w:asciiTheme="minorHAnsi" w:hAnsiTheme="minorHAnsi" w:hint="eastAsia"/>
          <w:noProof w:val="0"/>
          <w:rtl/>
        </w:rPr>
        <w:t>של</w:t>
      </w:r>
      <w:r>
        <w:rPr>
          <w:rFonts w:asciiTheme="minorHAnsi" w:hAnsiTheme="minorHAnsi"/>
          <w:noProof w:val="0"/>
          <w:rtl/>
        </w:rPr>
        <w:t xml:space="preserve"> </w:t>
      </w:r>
      <w:r>
        <w:rPr>
          <w:rFonts w:asciiTheme="minorHAnsi" w:hAnsiTheme="minorHAnsi" w:hint="eastAsia"/>
          <w:noProof w:val="0"/>
          <w:rtl/>
        </w:rPr>
        <w:t>כ</w:t>
      </w:r>
      <w:r>
        <w:rPr>
          <w:rFonts w:asciiTheme="minorHAnsi" w:hAnsiTheme="minorHAnsi"/>
          <w:noProof w:val="0"/>
          <w:rtl/>
        </w:rPr>
        <w:t xml:space="preserve">- 80,000 </w:t>
      </w:r>
      <w:r>
        <w:rPr>
          <w:rFonts w:asciiTheme="minorHAnsi" w:hAnsiTheme="minorHAnsi" w:hint="eastAsia"/>
          <w:noProof w:val="0"/>
          <w:rtl/>
        </w:rPr>
        <w:t>ש</w:t>
      </w:r>
      <w:r>
        <w:rPr>
          <w:rFonts w:asciiTheme="minorHAnsi" w:hAnsiTheme="minorHAnsi"/>
          <w:noProof w:val="0"/>
          <w:rtl/>
        </w:rPr>
        <w:t>"</w:t>
      </w:r>
      <w:r>
        <w:rPr>
          <w:rFonts w:asciiTheme="minorHAnsi" w:hAnsiTheme="minorHAnsi" w:hint="eastAsia"/>
          <w:noProof w:val="0"/>
          <w:rtl/>
        </w:rPr>
        <w:t>ח</w:t>
      </w:r>
      <w:r>
        <w:rPr>
          <w:rFonts w:asciiTheme="minorHAnsi" w:hAnsiTheme="minorHAnsi"/>
          <w:noProof w:val="0"/>
          <w:rtl/>
        </w:rPr>
        <w:t xml:space="preserve">, </w:t>
      </w:r>
      <w:r>
        <w:rPr>
          <w:rFonts w:asciiTheme="minorHAnsi" w:hAnsiTheme="minorHAnsi" w:hint="eastAsia"/>
          <w:noProof w:val="0"/>
          <w:rtl/>
        </w:rPr>
        <w:t>בצירוף</w:t>
      </w:r>
      <w:r>
        <w:rPr>
          <w:rFonts w:asciiTheme="minorHAnsi" w:hAnsiTheme="minorHAnsi"/>
          <w:noProof w:val="0"/>
          <w:rtl/>
        </w:rPr>
        <w:t xml:space="preserve"> </w:t>
      </w:r>
      <w:r>
        <w:rPr>
          <w:rFonts w:asciiTheme="minorHAnsi" w:hAnsiTheme="minorHAnsi" w:hint="eastAsia"/>
          <w:noProof w:val="0"/>
          <w:rtl/>
        </w:rPr>
        <w:t>מע</w:t>
      </w:r>
      <w:r>
        <w:rPr>
          <w:rFonts w:asciiTheme="minorHAnsi" w:hAnsiTheme="minorHAnsi"/>
          <w:noProof w:val="0"/>
          <w:rtl/>
        </w:rPr>
        <w:t>"</w:t>
      </w:r>
      <w:r>
        <w:rPr>
          <w:rFonts w:asciiTheme="minorHAnsi" w:hAnsiTheme="minorHAnsi" w:hint="eastAsia"/>
          <w:noProof w:val="0"/>
          <w:rtl/>
        </w:rPr>
        <w:t>מ</w:t>
      </w:r>
      <w:r>
        <w:rPr>
          <w:rFonts w:asciiTheme="minorHAnsi" w:hAnsiTheme="minorHAnsi"/>
          <w:noProof w:val="0"/>
          <w:rtl/>
        </w:rPr>
        <w:t>.</w:t>
      </w:r>
    </w:p>
    <w:p>
      <w:pPr>
        <w:spacing w:before="240" w:after="100" w:line="360" w:lineRule="auto"/>
        <w:ind w:left="366"/>
        <w:contextualSpacing/>
        <w:jc w:val="both"/>
        <w:rPr>
          <w:rFonts w:asciiTheme="minorHAnsi" w:hAnsiTheme="minorHAnsi"/>
          <w:noProof w:val="0"/>
          <w:rtl/>
        </w:rPr>
      </w:pPr>
      <w:r>
        <w:rPr>
          <w:rFonts w:asciiTheme="minorHAnsi" w:hAnsiTheme="minorHAnsi"/>
          <w:noProof w:val="0"/>
          <w:rtl/>
        </w:rPr>
        <w:t xml:space="preserve"> </w:t>
      </w:r>
    </w:p>
    <w:p>
      <w:pPr>
        <w:spacing w:before="240" w:after="100" w:line="360" w:lineRule="auto"/>
        <w:ind w:left="720" w:hanging="714"/>
        <w:contextualSpacing/>
        <w:jc w:val="both"/>
        <w:rPr>
          <w:noProof w:val="0"/>
        </w:rPr>
      </w:pPr>
      <w:r>
        <w:rPr>
          <w:rFonts w:hint="cs"/>
          <w:noProof w:val="0"/>
          <w:rtl/>
        </w:rPr>
        <w:t>8.</w:t>
      </w:r>
      <w:r>
        <w:rPr>
          <w:rFonts w:hint="cs"/>
          <w:noProof w:val="0"/>
          <w:rtl/>
        </w:rPr>
        <w:tab/>
      </w:r>
      <w:r>
        <w:rPr>
          <w:noProof w:val="0"/>
          <w:rtl/>
        </w:rPr>
        <w:t>ביום 15.2.2015 הגיש המבקש 1 תשובה לתגובת המשיבה 1 לבקשת האישור הראשונה. ביום 18.2.2015 הגישו המבקש 1 והמבקשת 3 תשובה לתגובת המשיבות 2, 3, 4 ו- 6 לבקשות האישור.</w:t>
      </w:r>
    </w:p>
    <w:p>
      <w:pPr>
        <w:spacing w:after="160" w:line="259" w:lineRule="auto"/>
        <w:ind w:left="720"/>
        <w:contextualSpacing/>
        <w:rPr>
          <w:noProof w:val="0"/>
          <w:rtl/>
        </w:rPr>
      </w:pPr>
    </w:p>
    <w:p>
      <w:pPr>
        <w:spacing w:before="240" w:after="100" w:line="360" w:lineRule="auto"/>
        <w:ind w:left="720" w:hanging="714"/>
        <w:contextualSpacing/>
        <w:jc w:val="both"/>
        <w:rPr>
          <w:noProof w:val="0"/>
        </w:rPr>
      </w:pPr>
      <w:r>
        <w:rPr>
          <w:rFonts w:hint="cs"/>
          <w:noProof w:val="0"/>
          <w:rtl/>
        </w:rPr>
        <w:t>9.</w:t>
      </w:r>
      <w:r>
        <w:rPr>
          <w:rFonts w:hint="cs"/>
          <w:noProof w:val="0"/>
          <w:rtl/>
        </w:rPr>
        <w:tab/>
      </w:r>
      <w:r>
        <w:rPr>
          <w:noProof w:val="0"/>
          <w:rtl/>
        </w:rPr>
        <w:t>ביום 23.3.2015 התקיים דיון בו ב"כ המשיבה 5 ציין כי ישנה שאלה אם צריך למכור כרטיסים בהנחה לאזרחים ותיקים דרך האינטרנט או לא, אך הם החליטו לפנים משורת הדין לאפשר זאת, אך החלטה זו אינה מצריכה תשלום של הוצאות ושכר טרחה. עוד הוסיף ב"כ המשיבה 5 כי מדובר בכספי ציבור, וכל סכום שייפסק יהיה מכספי המדינה, וגם כך מצבה של המשיבה 5 אינו טוב. עוד נקבע באותו דיון כי שאר המבקשים והמשיבות ינהלו משא ומתן בדבר האפשרות להגיע להסדר פשרה.</w:t>
      </w:r>
    </w:p>
    <w:p>
      <w:pPr>
        <w:spacing w:after="160" w:line="259" w:lineRule="auto"/>
        <w:ind w:left="720"/>
        <w:contextualSpacing/>
        <w:rPr>
          <w:noProof w:val="0"/>
          <w:rtl/>
        </w:rPr>
      </w:pPr>
    </w:p>
    <w:p>
      <w:pPr>
        <w:spacing w:before="240" w:after="100" w:line="360" w:lineRule="auto"/>
        <w:ind w:left="720"/>
        <w:contextualSpacing/>
        <w:jc w:val="both"/>
        <w:rPr>
          <w:noProof w:val="0"/>
        </w:rPr>
      </w:pPr>
      <w:r>
        <w:rPr>
          <w:noProof w:val="0"/>
          <w:rtl/>
        </w:rPr>
        <w:t>ביום 31.5.2015 התקיים דיון נוסף בו דנו בעקרונות להגעה להסדר פשרה, במסגרתו ייערך "פיילוט" שיימשך 4 חודשים על מנת לבחון את הסדר הפשרה שהוצע.</w:t>
      </w:r>
    </w:p>
    <w:p>
      <w:pPr>
        <w:spacing w:after="160" w:line="259" w:lineRule="auto"/>
        <w:ind w:left="720"/>
        <w:contextualSpacing/>
        <w:rPr>
          <w:noProof w:val="0"/>
          <w:rtl/>
        </w:rPr>
      </w:pPr>
    </w:p>
    <w:p>
      <w:pPr>
        <w:spacing w:before="240" w:after="100" w:line="360" w:lineRule="auto"/>
        <w:ind w:left="720" w:hanging="714"/>
        <w:contextualSpacing/>
        <w:jc w:val="both"/>
        <w:rPr>
          <w:noProof w:val="0"/>
        </w:rPr>
      </w:pPr>
      <w:r>
        <w:rPr>
          <w:rFonts w:hint="cs"/>
          <w:noProof w:val="0"/>
          <w:rtl/>
        </w:rPr>
        <w:t>10.</w:t>
      </w:r>
      <w:r>
        <w:rPr>
          <w:rFonts w:hint="cs"/>
          <w:noProof w:val="0"/>
          <w:rtl/>
        </w:rPr>
        <w:tab/>
      </w:r>
      <w:r>
        <w:rPr>
          <w:noProof w:val="0"/>
          <w:rtl/>
        </w:rPr>
        <w:t xml:space="preserve">ביום 28.7.2015 הוגשה בקשה לאישור הסדר פשרה (להלן: </w:t>
      </w:r>
      <w:r>
        <w:rPr>
          <w:b/>
          <w:bCs/>
          <w:noProof w:val="0"/>
          <w:rtl/>
        </w:rPr>
        <w:t>"הסדר הפשרה"</w:t>
      </w:r>
      <w:r>
        <w:rPr>
          <w:noProof w:val="0"/>
          <w:rtl/>
        </w:rPr>
        <w:t>). במסגרת הסדר הפשרה, הגיעו המבקש 1 והמבקשת</w:t>
      </w:r>
      <w:r>
        <w:rPr>
          <w:rFonts w:hint="cs"/>
          <w:noProof w:val="0"/>
          <w:rtl/>
        </w:rPr>
        <w:t xml:space="preserve"> 3, באמצעות בא הכוח המייצג</w:t>
      </w:r>
      <w:r>
        <w:rPr>
          <w:noProof w:val="0"/>
          <w:rtl/>
        </w:rPr>
        <w:t xml:space="preserve">, </w:t>
      </w:r>
      <w:r>
        <w:rPr>
          <w:rFonts w:hint="cs"/>
          <w:noProof w:val="0"/>
          <w:rtl/>
        </w:rPr>
        <w:t xml:space="preserve">להסדר פשרה עם </w:t>
      </w:r>
      <w:r>
        <w:rPr>
          <w:noProof w:val="0"/>
          <w:rtl/>
        </w:rPr>
        <w:t xml:space="preserve">המשיבות 1, 2, 3, 4 ו- 6 (להלן: </w:t>
      </w:r>
      <w:r>
        <w:rPr>
          <w:b/>
          <w:bCs/>
          <w:noProof w:val="0"/>
          <w:rtl/>
        </w:rPr>
        <w:t>"המשיבות בהסדר הפשרה"</w:t>
      </w:r>
      <w:r>
        <w:rPr>
          <w:noProof w:val="0"/>
          <w:rtl/>
        </w:rPr>
        <w:t>)</w:t>
      </w:r>
      <w:r>
        <w:rPr>
          <w:rFonts w:hint="cs"/>
          <w:noProof w:val="0"/>
          <w:rtl/>
        </w:rPr>
        <w:t xml:space="preserve">. על פי הסדר זה יתאפשר </w:t>
      </w:r>
      <w:r>
        <w:rPr>
          <w:noProof w:val="0"/>
          <w:rtl/>
        </w:rPr>
        <w:t>לכל אזרח ותיק לרכוש כרטיסי כניסה לסרטים ישראליים באמצעות האינטרנט, ולקבל את ההנחה בסך של 50% ממחיר הכרטיס באינטרנט כבר במעמד הרכישה, באופן הבא: בעת הרכישה דרך האינטרנט, האזרח הותיק יוכל לבחור את סוג הכרטיס המיועד לאזרח ותיק, האזרח הותיק ישלם את המחיר המוזל לאחר קבלת ההנחה על פי החוק והתקנות, וקבלת כרטיסים אלו תעשה בקופות המכירה (ולא במכונות האוטומטיות) לפני הקרנת הסרט כנגד הצגת תעודת אזרח ותיק לקופאי/ הצגת תעודת זהות המעידה על גיל, ובנוסף הצגת כרטיס האשראי ששימש לרכישת הכרטיסים. עוד הוסכם כי אזרח ותיק שנמנע מהגעה לקופות והצגת תעודה מתאימה בטרם הקרנת הסרט, יהיה מנוע מקבלת הכרטיס או הזיכוי בגינו.</w:t>
      </w:r>
    </w:p>
    <w:p>
      <w:pPr>
        <w:spacing w:before="240" w:after="100" w:line="360" w:lineRule="auto"/>
        <w:ind w:left="366"/>
        <w:contextualSpacing/>
        <w:jc w:val="both"/>
        <w:rPr>
          <w:noProof w:val="0"/>
          <w:rtl/>
        </w:rPr>
      </w:pPr>
    </w:p>
    <w:p>
      <w:pPr>
        <w:spacing w:before="240" w:after="100" w:line="360" w:lineRule="auto"/>
        <w:ind w:left="720"/>
        <w:contextualSpacing/>
        <w:jc w:val="both"/>
        <w:rPr>
          <w:noProof w:val="0"/>
          <w:rtl/>
        </w:rPr>
      </w:pPr>
      <w:r>
        <w:rPr>
          <w:noProof w:val="0"/>
          <w:rtl/>
        </w:rPr>
        <w:t xml:space="preserve">עוד הוסכם כי כל משיבה תהיה אחראית לעדכון אתר האינטרנט שלה באופן בולט באפשרות של אזרחים ותיקים לקבל את ההנחה בעת רכישת כרטיס לסרט ישראלי באתר האינטרנט. עוד נקבע כי תחילת ההסדר </w:t>
      </w:r>
      <w:r>
        <w:rPr>
          <w:rFonts w:hint="cs"/>
          <w:noProof w:val="0"/>
          <w:rtl/>
        </w:rPr>
        <w:t xml:space="preserve">תהא </w:t>
      </w:r>
      <w:r>
        <w:rPr>
          <w:noProof w:val="0"/>
          <w:rtl/>
        </w:rPr>
        <w:t>ביום 1.9.2015</w:t>
      </w:r>
      <w:r>
        <w:rPr>
          <w:rFonts w:hint="cs"/>
          <w:noProof w:val="0"/>
          <w:rtl/>
        </w:rPr>
        <w:t>,</w:t>
      </w:r>
      <w:r>
        <w:rPr>
          <w:noProof w:val="0"/>
          <w:rtl/>
        </w:rPr>
        <w:t xml:space="preserve"> זאת אף אם טרם אושר הסדר הפשרה, והוא יבוצע במתווה של פיילוט לא מחייב</w:t>
      </w:r>
      <w:r>
        <w:rPr>
          <w:rFonts w:hint="cs"/>
          <w:noProof w:val="0"/>
          <w:rtl/>
        </w:rPr>
        <w:t xml:space="preserve"> עד לאישור הסדר הפשרה</w:t>
      </w:r>
      <w:r>
        <w:rPr>
          <w:noProof w:val="0"/>
          <w:rtl/>
        </w:rPr>
        <w:t xml:space="preserve">. </w:t>
      </w:r>
    </w:p>
    <w:p>
      <w:pPr>
        <w:spacing w:before="240" w:after="100" w:line="360" w:lineRule="auto"/>
        <w:ind w:left="366"/>
        <w:contextualSpacing/>
        <w:jc w:val="both"/>
        <w:rPr>
          <w:noProof w:val="0"/>
          <w:rtl/>
        </w:rPr>
      </w:pPr>
    </w:p>
    <w:p>
      <w:pPr>
        <w:spacing w:before="240" w:after="100" w:line="360" w:lineRule="auto"/>
        <w:ind w:left="720"/>
        <w:contextualSpacing/>
        <w:jc w:val="both"/>
        <w:rPr>
          <w:noProof w:val="0"/>
          <w:rtl/>
        </w:rPr>
      </w:pPr>
      <w:r>
        <w:rPr>
          <w:noProof w:val="0"/>
          <w:rtl/>
        </w:rPr>
        <w:t>הוסכם בין הצדדים כי הסדר זה לא יחול על ההזמנות המבוצעות דרך הטלפון, בשל בעיות טכנולוגיות ובשל כמות ההזמנות הזניחה הנעשית דרך הטלפון.</w:t>
      </w:r>
    </w:p>
    <w:p>
      <w:pPr>
        <w:spacing w:before="240" w:after="100" w:line="360" w:lineRule="auto"/>
        <w:ind w:left="366"/>
        <w:contextualSpacing/>
        <w:jc w:val="both"/>
        <w:rPr>
          <w:noProof w:val="0"/>
          <w:rtl/>
        </w:rPr>
      </w:pPr>
    </w:p>
    <w:p>
      <w:pPr>
        <w:spacing w:before="240" w:after="100" w:line="360" w:lineRule="auto"/>
        <w:ind w:left="720"/>
        <w:contextualSpacing/>
        <w:jc w:val="both"/>
        <w:rPr>
          <w:noProof w:val="0"/>
          <w:rtl/>
        </w:rPr>
      </w:pPr>
      <w:r>
        <w:rPr>
          <w:noProof w:val="0"/>
          <w:rtl/>
        </w:rPr>
        <w:t>בנוסף לכך, התבקש בית המשפט לפסוק גמול ושכר טרחה כפי שיראה לנכון, בשים לב לתועלת שהובאה לאוכלוסיית האזרחים ה</w:t>
      </w:r>
      <w:r>
        <w:rPr>
          <w:rFonts w:hint="cs"/>
          <w:noProof w:val="0"/>
          <w:rtl/>
        </w:rPr>
        <w:t>ו</w:t>
      </w:r>
      <w:r>
        <w:rPr>
          <w:noProof w:val="0"/>
          <w:rtl/>
        </w:rPr>
        <w:t xml:space="preserve">ותיקים. </w:t>
      </w:r>
    </w:p>
    <w:p>
      <w:pPr>
        <w:spacing w:before="240" w:after="100" w:line="360" w:lineRule="auto"/>
        <w:ind w:left="366"/>
        <w:contextualSpacing/>
        <w:jc w:val="both"/>
        <w:rPr>
          <w:noProof w:val="0"/>
          <w:rtl/>
        </w:rPr>
      </w:pPr>
    </w:p>
    <w:p>
      <w:pPr>
        <w:spacing w:before="240" w:after="100" w:line="360" w:lineRule="auto"/>
        <w:ind w:left="720" w:hanging="714"/>
        <w:contextualSpacing/>
        <w:jc w:val="both"/>
        <w:rPr>
          <w:noProof w:val="0"/>
        </w:rPr>
      </w:pPr>
      <w:r>
        <w:rPr>
          <w:rFonts w:hint="cs"/>
          <w:noProof w:val="0"/>
          <w:rtl/>
        </w:rPr>
        <w:t>11.</w:t>
      </w:r>
      <w:r>
        <w:rPr>
          <w:rFonts w:hint="cs"/>
          <w:noProof w:val="0"/>
          <w:rtl/>
        </w:rPr>
        <w:tab/>
      </w:r>
      <w:r>
        <w:rPr>
          <w:noProof w:val="0"/>
          <w:rtl/>
        </w:rPr>
        <w:t xml:space="preserve">ביום 11.8.2015 פורסמה החלטת בית המשפט בדבר פרסום הסדר הפשרה להתייחסויות. </w:t>
      </w:r>
    </w:p>
    <w:p>
      <w:pPr>
        <w:spacing w:before="240" w:after="100" w:line="360" w:lineRule="auto"/>
        <w:ind w:left="720" w:hanging="714"/>
        <w:jc w:val="both"/>
      </w:pPr>
      <w:r>
        <w:rPr>
          <w:rFonts w:hint="cs"/>
          <w:noProof w:val="0"/>
          <w:rtl/>
        </w:rPr>
        <w:t>12.</w:t>
      </w:r>
      <w:r>
        <w:rPr>
          <w:rFonts w:hint="cs"/>
          <w:noProof w:val="0"/>
          <w:rtl/>
        </w:rPr>
        <w:tab/>
      </w:r>
      <w:r>
        <w:rPr>
          <w:noProof w:val="0"/>
          <w:rtl/>
        </w:rPr>
        <w:t>עמדת היועץ המשפטי לממשלה, אשר הוגשה ביום 28.10.2015</w:t>
      </w:r>
      <w:r>
        <w:rPr>
          <w:rFonts w:hint="cs"/>
          <w:noProof w:val="0"/>
          <w:rtl/>
        </w:rPr>
        <w:t xml:space="preserve"> </w:t>
      </w:r>
      <w:r>
        <w:rPr>
          <w:noProof w:val="0"/>
          <w:rtl/>
        </w:rPr>
        <w:t>על ידי עו"ד נירה משרקי מפרקליטות מחוז תל אביב (אזרחי), הייתה כי יש להשאיר לשיקול דעתו של בית המשפט את ההחלטה אם ראוי לאשר את הפשרה. ב"כ היועץ המשפטי לממשלה הודיעה כי המשרד לאזרחים ותיקים שוקל להתחיל להנפיק במהלך נובמבר 2015, או במועד סמוך לכך, תעודת אזרח ותיק הכוללת פס מגנטי ו/או רכיב זיכרון, ובמקרה שתחל הפקה זו יפעלו בתי הקולנוע בתוך זמן סביר להתאמת המערכות הקיימות כך שיתאפשר שימוש בתעודת אזרח ותיק.</w:t>
      </w:r>
    </w:p>
    <w:p>
      <w:pPr>
        <w:spacing w:before="240" w:after="100" w:line="360" w:lineRule="auto"/>
        <w:ind w:left="720"/>
        <w:jc w:val="both"/>
        <w:rPr>
          <w:rtl/>
        </w:rPr>
      </w:pPr>
      <w:r>
        <w:rPr>
          <w:noProof w:val="0"/>
          <w:rtl/>
        </w:rPr>
        <w:t>עוד הוסיפה ב"כ היועץ המשפטי לממשלה כי ההסדר משפר את מצבם של האזרחים הותיקים לעומת המצב הקיים ו</w:t>
      </w:r>
      <w:r>
        <w:rPr>
          <w:rFonts w:hint="cs"/>
          <w:noProof w:val="0"/>
          <w:rtl/>
        </w:rPr>
        <w:t xml:space="preserve">על כן </w:t>
      </w:r>
      <w:r>
        <w:rPr>
          <w:noProof w:val="0"/>
          <w:rtl/>
        </w:rPr>
        <w:t>ב"כ היועץ המשפטי תומך בהסדר. בנוסף הובהר כי לכשתקום אפשרות הזיהוי באמצעות תעודת אזרח ותיק, בתי הקולנוע יאפשרו, בכפוף להנחיות המשרד, זיהוי באמצעות תעודה זו במסגרת הליך הרכישה באינטרנט ללא צורך בזיהוי על ידי המוכר בקופה הנמצאת ליד בתי הקולנוע.</w:t>
      </w:r>
    </w:p>
    <w:p>
      <w:pPr>
        <w:spacing w:before="240" w:after="100" w:line="360" w:lineRule="auto"/>
        <w:ind w:left="720" w:hanging="714"/>
        <w:contextualSpacing/>
        <w:jc w:val="both"/>
        <w:rPr>
          <w:rtl/>
        </w:rPr>
      </w:pPr>
      <w:r>
        <w:rPr>
          <w:rFonts w:hint="cs"/>
          <w:noProof w:val="0"/>
          <w:rtl/>
        </w:rPr>
        <w:t>13.</w:t>
      </w:r>
      <w:r>
        <w:rPr>
          <w:rFonts w:hint="cs"/>
          <w:noProof w:val="0"/>
          <w:rtl/>
        </w:rPr>
        <w:tab/>
      </w:r>
      <w:r>
        <w:rPr>
          <w:noProof w:val="0"/>
          <w:rtl/>
        </w:rPr>
        <w:t>הדיון בבקשה לאישור הסדר הפשרה התקיים ביום 29.10.2015. טרם הדיון לא התקבלו התנגדויות להסדר הפשרה או בקשות ליציאה מהקבוצה, ולדיון עצמו לא התייצב אף אחד מחברי הקבוצה.</w:t>
      </w:r>
      <w:r>
        <w:rPr>
          <w:rtl/>
        </w:rPr>
        <w:t xml:space="preserve"> במהלך הדיון, בו הופיעה גם ב"כ היועץ המשפטי לממשלה, הצדדים התייחסו ליישום הסדר הפשרה.</w:t>
      </w:r>
    </w:p>
    <w:p>
      <w:pPr>
        <w:spacing w:before="240" w:after="100" w:line="360" w:lineRule="auto"/>
        <w:ind w:left="6"/>
        <w:jc w:val="both"/>
      </w:pPr>
      <w:r>
        <w:rPr>
          <w:rFonts w:hint="cs"/>
          <w:noProof w:val="0"/>
          <w:rtl/>
        </w:rPr>
        <w:t>14.</w:t>
      </w:r>
      <w:r>
        <w:rPr>
          <w:rFonts w:hint="cs"/>
          <w:noProof w:val="0"/>
          <w:rtl/>
        </w:rPr>
        <w:tab/>
      </w:r>
      <w:r>
        <w:rPr>
          <w:noProof w:val="0"/>
          <w:rtl/>
        </w:rPr>
        <w:t xml:space="preserve">על רקע זה ניתן לפנות להצגת עיקרי הסדר הפשרה. </w:t>
      </w:r>
    </w:p>
    <w:p>
      <w:pPr>
        <w:spacing w:before="240" w:after="240" w:line="360" w:lineRule="auto"/>
        <w:rPr>
          <w:b/>
          <w:bCs/>
          <w:noProof w:val="0"/>
          <w:sz w:val="28"/>
          <w:szCs w:val="28"/>
          <w:u w:val="single"/>
        </w:rPr>
      </w:pPr>
      <w:r>
        <w:rPr>
          <w:b/>
          <w:bCs/>
          <w:noProof w:val="0"/>
          <w:sz w:val="28"/>
          <w:szCs w:val="28"/>
          <w:rtl/>
        </w:rPr>
        <w:t>ב.</w:t>
      </w:r>
      <w:r>
        <w:rPr>
          <w:b/>
          <w:bCs/>
          <w:noProof w:val="0"/>
          <w:sz w:val="28"/>
          <w:szCs w:val="28"/>
          <w:rtl/>
        </w:rPr>
        <w:tab/>
      </w:r>
      <w:r>
        <w:rPr>
          <w:b/>
          <w:bCs/>
          <w:noProof w:val="0"/>
          <w:sz w:val="28"/>
          <w:szCs w:val="28"/>
          <w:u w:val="single"/>
          <w:rtl/>
        </w:rPr>
        <w:t xml:space="preserve"> עיקרי הסדר הפשרה</w:t>
      </w:r>
    </w:p>
    <w:p>
      <w:pPr>
        <w:spacing w:before="240" w:after="100" w:line="360" w:lineRule="auto"/>
        <w:ind w:left="720" w:hanging="714"/>
        <w:jc w:val="both"/>
        <w:rPr>
          <w:noProof w:val="0"/>
          <w:rtl/>
        </w:rPr>
      </w:pPr>
      <w:r>
        <w:rPr>
          <w:rFonts w:hint="cs"/>
          <w:noProof w:val="0"/>
          <w:rtl/>
        </w:rPr>
        <w:t>15.</w:t>
      </w:r>
      <w:r>
        <w:rPr>
          <w:rFonts w:hint="cs"/>
          <w:noProof w:val="0"/>
          <w:rtl/>
        </w:rPr>
        <w:tab/>
      </w:r>
      <w:r>
        <w:rPr>
          <w:noProof w:val="0"/>
          <w:rtl/>
        </w:rPr>
        <w:t>להלן עיקרי הסדר הפשרה, שהוגש כאמור לאישור בית המשפט ביום 28.7.2015</w:t>
      </w:r>
      <w:r>
        <w:rPr>
          <w:rFonts w:hint="cs"/>
          <w:noProof w:val="0"/>
          <w:rtl/>
        </w:rPr>
        <w:t>, ומתייחס למשיבות 1- 4 ו- 6, שהן כולן מפעילות בתי קולנוע</w:t>
      </w:r>
      <w:r>
        <w:rPr>
          <w:noProof w:val="0"/>
          <w:rtl/>
        </w:rPr>
        <w:t>. למען הסר ספק מובהר כי בכל</w:t>
      </w:r>
      <w:r>
        <w:rPr>
          <w:noProof w:val="0"/>
        </w:rPr>
        <w:t xml:space="preserve"> </w:t>
      </w:r>
      <w:r>
        <w:rPr>
          <w:noProof w:val="0"/>
          <w:rtl/>
        </w:rPr>
        <w:t>מקרה</w:t>
      </w:r>
      <w:r>
        <w:rPr>
          <w:noProof w:val="0"/>
        </w:rPr>
        <w:t xml:space="preserve"> </w:t>
      </w:r>
      <w:r>
        <w:rPr>
          <w:noProof w:val="0"/>
          <w:rtl/>
        </w:rPr>
        <w:t>של</w:t>
      </w:r>
      <w:r>
        <w:rPr>
          <w:noProof w:val="0"/>
        </w:rPr>
        <w:t xml:space="preserve"> </w:t>
      </w:r>
      <w:r>
        <w:rPr>
          <w:noProof w:val="0"/>
          <w:rtl/>
        </w:rPr>
        <w:lastRenderedPageBreak/>
        <w:t>סתירה</w:t>
      </w:r>
      <w:r>
        <w:rPr>
          <w:noProof w:val="0"/>
        </w:rPr>
        <w:t xml:space="preserve"> </w:t>
      </w:r>
      <w:r>
        <w:rPr>
          <w:noProof w:val="0"/>
          <w:rtl/>
        </w:rPr>
        <w:t>בין</w:t>
      </w:r>
      <w:r>
        <w:rPr>
          <w:noProof w:val="0"/>
        </w:rPr>
        <w:t xml:space="preserve"> </w:t>
      </w:r>
      <w:r>
        <w:rPr>
          <w:noProof w:val="0"/>
          <w:rtl/>
        </w:rPr>
        <w:t>התיאור שיובא להלן</w:t>
      </w:r>
      <w:r>
        <w:rPr>
          <w:noProof w:val="0"/>
        </w:rPr>
        <w:t xml:space="preserve"> </w:t>
      </w:r>
      <w:r>
        <w:rPr>
          <w:noProof w:val="0"/>
          <w:rtl/>
        </w:rPr>
        <w:t>לבין</w:t>
      </w:r>
      <w:r>
        <w:rPr>
          <w:noProof w:val="0"/>
        </w:rPr>
        <w:t xml:space="preserve"> </w:t>
      </w:r>
      <w:r>
        <w:rPr>
          <w:noProof w:val="0"/>
          <w:rtl/>
        </w:rPr>
        <w:t>נוסח</w:t>
      </w:r>
      <w:r>
        <w:rPr>
          <w:noProof w:val="0"/>
        </w:rPr>
        <w:t xml:space="preserve"> </w:t>
      </w:r>
      <w:r>
        <w:rPr>
          <w:noProof w:val="0"/>
          <w:rtl/>
        </w:rPr>
        <w:t>הסדר</w:t>
      </w:r>
      <w:r>
        <w:rPr>
          <w:noProof w:val="0"/>
        </w:rPr>
        <w:t xml:space="preserve"> </w:t>
      </w:r>
      <w:r>
        <w:rPr>
          <w:noProof w:val="0"/>
          <w:rtl/>
        </w:rPr>
        <w:t>הפשרה, יגבר</w:t>
      </w:r>
      <w:r>
        <w:rPr>
          <w:noProof w:val="0"/>
        </w:rPr>
        <w:t xml:space="preserve"> </w:t>
      </w:r>
      <w:r>
        <w:rPr>
          <w:noProof w:val="0"/>
          <w:rtl/>
        </w:rPr>
        <w:t>נוסח</w:t>
      </w:r>
      <w:r>
        <w:rPr>
          <w:noProof w:val="0"/>
        </w:rPr>
        <w:t xml:space="preserve"> </w:t>
      </w:r>
      <w:r>
        <w:rPr>
          <w:noProof w:val="0"/>
          <w:rtl/>
        </w:rPr>
        <w:t>הסדר</w:t>
      </w:r>
      <w:r>
        <w:rPr>
          <w:noProof w:val="0"/>
        </w:rPr>
        <w:t xml:space="preserve"> </w:t>
      </w:r>
      <w:r>
        <w:rPr>
          <w:noProof w:val="0"/>
          <w:rtl/>
        </w:rPr>
        <w:t>הפשרה (אלא</w:t>
      </w:r>
      <w:r>
        <w:rPr>
          <w:noProof w:val="0"/>
        </w:rPr>
        <w:t xml:space="preserve"> </w:t>
      </w:r>
      <w:r>
        <w:rPr>
          <w:noProof w:val="0"/>
          <w:rtl/>
        </w:rPr>
        <w:t>אם</w:t>
      </w:r>
      <w:r>
        <w:rPr>
          <w:noProof w:val="0"/>
        </w:rPr>
        <w:t xml:space="preserve"> </w:t>
      </w:r>
      <w:r>
        <w:rPr>
          <w:noProof w:val="0"/>
          <w:rtl/>
        </w:rPr>
        <w:t>מהקשר</w:t>
      </w:r>
      <w:r>
        <w:rPr>
          <w:noProof w:val="0"/>
        </w:rPr>
        <w:t xml:space="preserve"> </w:t>
      </w:r>
      <w:r>
        <w:rPr>
          <w:noProof w:val="0"/>
          <w:rtl/>
        </w:rPr>
        <w:t>הדברים</w:t>
      </w:r>
      <w:r>
        <w:rPr>
          <w:noProof w:val="0"/>
        </w:rPr>
        <w:t xml:space="preserve"> </w:t>
      </w:r>
      <w:r>
        <w:rPr>
          <w:noProof w:val="0"/>
          <w:rtl/>
        </w:rPr>
        <w:t>עולה</w:t>
      </w:r>
      <w:r>
        <w:rPr>
          <w:noProof w:val="0"/>
        </w:rPr>
        <w:t xml:space="preserve"> </w:t>
      </w:r>
      <w:r>
        <w:rPr>
          <w:noProof w:val="0"/>
          <w:rtl/>
        </w:rPr>
        <w:t>כוונה</w:t>
      </w:r>
      <w:r>
        <w:rPr>
          <w:noProof w:val="0"/>
        </w:rPr>
        <w:t xml:space="preserve"> </w:t>
      </w:r>
      <w:r>
        <w:rPr>
          <w:noProof w:val="0"/>
          <w:rtl/>
        </w:rPr>
        <w:t xml:space="preserve">אחרת). </w:t>
      </w:r>
    </w:p>
    <w:p>
      <w:pPr>
        <w:spacing w:before="240" w:after="240" w:line="360" w:lineRule="auto"/>
        <w:ind w:left="1135" w:hanging="851"/>
        <w:jc w:val="both"/>
        <w:rPr>
          <w:b/>
          <w:bCs/>
          <w:noProof w:val="0"/>
          <w:rtl/>
        </w:rPr>
      </w:pPr>
      <w:r>
        <w:rPr>
          <w:rFonts w:hint="cs"/>
          <w:noProof w:val="0"/>
          <w:rtl/>
        </w:rPr>
        <w:t>א.</w:t>
      </w:r>
      <w:r>
        <w:rPr>
          <w:rFonts w:hint="cs"/>
          <w:noProof w:val="0"/>
          <w:rtl/>
        </w:rPr>
        <w:tab/>
      </w:r>
      <w:r>
        <w:rPr>
          <w:b/>
          <w:bCs/>
          <w:noProof w:val="0"/>
          <w:u w:val="single"/>
          <w:rtl/>
        </w:rPr>
        <w:t>הגדרת הקבוצה</w:t>
      </w:r>
      <w:r>
        <w:rPr>
          <w:b/>
          <w:bCs/>
          <w:noProof w:val="0"/>
          <w:rtl/>
        </w:rPr>
        <w:t xml:space="preserve"> – </w:t>
      </w:r>
      <w:r>
        <w:rPr>
          <w:noProof w:val="0"/>
          <w:rtl/>
        </w:rPr>
        <w:t xml:space="preserve">בסעיף (ב) לבקשת האישור בתיק הראשון </w:t>
      </w:r>
      <w:r>
        <w:rPr>
          <w:rFonts w:hint="cs"/>
          <w:noProof w:val="0"/>
          <w:rtl/>
        </w:rPr>
        <w:t xml:space="preserve">ובסעיף (ג) לבקשת האישור השניה </w:t>
      </w:r>
      <w:r>
        <w:rPr>
          <w:noProof w:val="0"/>
          <w:rtl/>
        </w:rPr>
        <w:t xml:space="preserve">הוגדרה הקבוצה כ: </w:t>
      </w:r>
      <w:r>
        <w:rPr>
          <w:b/>
          <w:bCs/>
          <w:noProof w:val="0"/>
          <w:rtl/>
        </w:rPr>
        <w:t xml:space="preserve">"כל לקוח של </w:t>
      </w:r>
      <w:r>
        <w:rPr>
          <w:rFonts w:hint="cs"/>
          <w:noProof w:val="0"/>
          <w:rtl/>
        </w:rPr>
        <w:t>[המשיבות בהסדר הפשרה ]</w:t>
      </w:r>
      <w:r>
        <w:rPr>
          <w:rFonts w:hint="cs"/>
          <w:b/>
          <w:bCs/>
          <w:noProof w:val="0"/>
          <w:rtl/>
        </w:rPr>
        <w:t xml:space="preserve"> </w:t>
      </w:r>
      <w:r>
        <w:rPr>
          <w:b/>
          <w:bCs/>
          <w:noProof w:val="0"/>
          <w:rtl/>
        </w:rPr>
        <w:t>שהינו אזרח ותיק כהגדרת המונח</w:t>
      </w:r>
      <w:r>
        <w:rPr>
          <w:rFonts w:hint="cs"/>
          <w:b/>
          <w:bCs/>
          <w:noProof w:val="0"/>
          <w:rtl/>
        </w:rPr>
        <w:t xml:space="preserve"> </w:t>
      </w:r>
      <w:r>
        <w:rPr>
          <w:b/>
          <w:bCs/>
          <w:noProof w:val="0"/>
          <w:rtl/>
        </w:rPr>
        <w:t xml:space="preserve"> בחוק האזרחים הותיקים, התש"ן- 1989, אשר רכש </w:t>
      </w:r>
      <w:r>
        <w:rPr>
          <w:rFonts w:hint="cs"/>
          <w:noProof w:val="0"/>
          <w:rtl/>
        </w:rPr>
        <w:t>[מאחת המשיבות בהסדר הפשרה]</w:t>
      </w:r>
      <w:r>
        <w:rPr>
          <w:rFonts w:hint="cs"/>
          <w:b/>
          <w:bCs/>
          <w:noProof w:val="0"/>
          <w:rtl/>
        </w:rPr>
        <w:t xml:space="preserve"> </w:t>
      </w:r>
      <w:r>
        <w:rPr>
          <w:b/>
          <w:bCs/>
          <w:noProof w:val="0"/>
          <w:rtl/>
        </w:rPr>
        <w:t>ו/או מי מטעמה כרטיס כניסה לסרט ישראלי כהגדרת המונח בתקנות האזרחים הותיקים (הנחות למופעי תרבות ולמוזיאונים), התשנ"ח- 1998, באמצעות אתר האינטרנט של המשיבה או באמצעות שירות טלפוני, ולא קיבל הנחת אזרח ותיק על פי סעיף 12 לחוק ובהתאם לתקנות; וזאת החל ממועד כניסת התקנות הקובעות זכות להנחות לסרטים ישראלים לתוקף, ועד מועד הגשת התביעה הייצוגית לאחר אישורה".</w:t>
      </w:r>
    </w:p>
    <w:p>
      <w:pPr>
        <w:spacing w:before="240" w:line="360" w:lineRule="auto"/>
        <w:ind w:left="1135" w:hanging="851"/>
        <w:jc w:val="both"/>
        <w:rPr>
          <w:b/>
          <w:bCs/>
          <w:noProof w:val="0"/>
          <w:rtl/>
        </w:rPr>
      </w:pPr>
      <w:r>
        <w:rPr>
          <w:rFonts w:hint="cs"/>
          <w:noProof w:val="0"/>
          <w:rtl/>
        </w:rPr>
        <w:t>ב.</w:t>
      </w:r>
      <w:r>
        <w:rPr>
          <w:rFonts w:hint="cs"/>
          <w:noProof w:val="0"/>
          <w:rtl/>
        </w:rPr>
        <w:tab/>
      </w:r>
      <w:r>
        <w:rPr>
          <w:b/>
          <w:bCs/>
          <w:noProof w:val="0"/>
          <w:u w:val="single"/>
          <w:rtl/>
        </w:rPr>
        <w:t>עילות התביעה</w:t>
      </w:r>
      <w:r>
        <w:rPr>
          <w:b/>
          <w:bCs/>
          <w:noProof w:val="0"/>
          <w:rtl/>
        </w:rPr>
        <w:t xml:space="preserve"> - </w:t>
      </w:r>
      <w:r>
        <w:rPr>
          <w:noProof w:val="0"/>
          <w:rtl/>
        </w:rPr>
        <w:t xml:space="preserve">עילות התביעה הוגדרו </w:t>
      </w:r>
      <w:r>
        <w:rPr>
          <w:rFonts w:hint="cs"/>
          <w:noProof w:val="0"/>
          <w:rtl/>
        </w:rPr>
        <w:t xml:space="preserve">בסעיפים 78 </w:t>
      </w:r>
      <w:r>
        <w:rPr>
          <w:noProof w:val="0"/>
          <w:rtl/>
        </w:rPr>
        <w:t>–</w:t>
      </w:r>
      <w:r>
        <w:rPr>
          <w:rFonts w:hint="cs"/>
          <w:noProof w:val="0"/>
          <w:rtl/>
        </w:rPr>
        <w:t xml:space="preserve"> 116 לבקשת האישור הראשונה ו</w:t>
      </w:r>
      <w:r>
        <w:rPr>
          <w:noProof w:val="0"/>
          <w:rtl/>
        </w:rPr>
        <w:t xml:space="preserve">בסעיפים 83- 130 לבקשת האישור </w:t>
      </w:r>
      <w:r>
        <w:rPr>
          <w:rFonts w:hint="cs"/>
          <w:noProof w:val="0"/>
          <w:rtl/>
        </w:rPr>
        <w:t>השניה</w:t>
      </w:r>
      <w:r>
        <w:rPr>
          <w:noProof w:val="0"/>
          <w:rtl/>
        </w:rPr>
        <w:t xml:space="preserve">, </w:t>
      </w:r>
      <w:r>
        <w:rPr>
          <w:rFonts w:hint="cs"/>
          <w:noProof w:val="0"/>
          <w:rtl/>
        </w:rPr>
        <w:t>והן כוללות הפרת חובה חקוקה, עשיית עושר ולא במשפט, הפרת חוזה, חוסר תום לב בקיום חוזה, הטעיה והפרת חובת גילוי כלפי הצרכן ורשלנות, הכל כמפורט שם</w:t>
      </w:r>
      <w:r>
        <w:rPr>
          <w:rFonts w:hint="cs"/>
          <w:b/>
          <w:bCs/>
          <w:noProof w:val="0"/>
          <w:rtl/>
        </w:rPr>
        <w:t>.</w:t>
      </w:r>
    </w:p>
    <w:p>
      <w:pPr>
        <w:spacing w:before="240" w:after="100" w:line="360" w:lineRule="auto"/>
        <w:ind w:left="1135" w:hanging="851"/>
        <w:rPr>
          <w:noProof w:val="0"/>
        </w:rPr>
      </w:pPr>
      <w:r>
        <w:rPr>
          <w:rFonts w:hint="cs"/>
          <w:noProof w:val="0"/>
          <w:rtl/>
        </w:rPr>
        <w:t>ג.</w:t>
      </w:r>
      <w:r>
        <w:rPr>
          <w:rFonts w:hint="cs"/>
          <w:noProof w:val="0"/>
          <w:rtl/>
        </w:rPr>
        <w:tab/>
      </w:r>
      <w:r>
        <w:rPr>
          <w:b/>
          <w:bCs/>
          <w:noProof w:val="0"/>
          <w:u w:val="single"/>
          <w:rtl/>
        </w:rPr>
        <w:t>התחייבויות המשיבות בהסדר הפשרה</w:t>
      </w:r>
      <w:r>
        <w:rPr>
          <w:b/>
          <w:bCs/>
          <w:noProof w:val="0"/>
          <w:rtl/>
        </w:rPr>
        <w:t xml:space="preserve"> </w:t>
      </w:r>
    </w:p>
    <w:p>
      <w:pPr>
        <w:spacing w:before="240" w:after="100" w:line="360" w:lineRule="auto"/>
        <w:ind w:left="851" w:firstLine="284"/>
        <w:contextualSpacing/>
        <w:jc w:val="both"/>
        <w:rPr>
          <w:noProof w:val="0"/>
        </w:rPr>
      </w:pPr>
      <w:r>
        <w:rPr>
          <w:noProof w:val="0"/>
          <w:rtl/>
        </w:rPr>
        <w:t>התחייבויות המשיבות בהסדר הפשרה לחברי הקבוצה הובאו בסעיפים 6- 11 להסדר:</w:t>
      </w:r>
    </w:p>
    <w:p>
      <w:pPr>
        <w:spacing w:before="240" w:after="100" w:line="360" w:lineRule="auto"/>
        <w:ind w:left="1985" w:hanging="851"/>
        <w:contextualSpacing/>
        <w:jc w:val="both"/>
        <w:rPr>
          <w:noProof w:val="0"/>
        </w:rPr>
      </w:pPr>
      <w:r>
        <w:rPr>
          <w:rFonts w:hint="cs"/>
          <w:noProof w:val="0"/>
          <w:rtl/>
        </w:rPr>
        <w:t>1.</w:t>
      </w:r>
      <w:r>
        <w:rPr>
          <w:rFonts w:hint="cs"/>
          <w:noProof w:val="0"/>
          <w:rtl/>
        </w:rPr>
        <w:tab/>
      </w:r>
      <w:r>
        <w:rPr>
          <w:noProof w:val="0"/>
          <w:rtl/>
        </w:rPr>
        <w:t>המשיבות בהסדר הפשרה יאפשרו לכל אזרח ותיק לרכוש כרטיסי כניסה לסרטים ישראליים באמצעות האינטרנט, ולקבל את ההנחה בסך של 50% ממחיר הכרטיס באינטרנט כבר במעמד הרכישה. הרכישה תתבצע באופן הבא:</w:t>
      </w:r>
    </w:p>
    <w:p>
      <w:pPr>
        <w:spacing w:before="240" w:after="100" w:line="360" w:lineRule="auto"/>
        <w:ind w:left="2836" w:hanging="851"/>
        <w:contextualSpacing/>
        <w:jc w:val="both"/>
        <w:rPr>
          <w:noProof w:val="0"/>
        </w:rPr>
      </w:pPr>
      <w:r>
        <w:rPr>
          <w:rFonts w:hint="cs"/>
          <w:noProof w:val="0"/>
          <w:rtl/>
        </w:rPr>
        <w:t>א.</w:t>
      </w:r>
      <w:r>
        <w:rPr>
          <w:rFonts w:hint="cs"/>
          <w:noProof w:val="0"/>
          <w:rtl/>
        </w:rPr>
        <w:tab/>
      </w:r>
      <w:r>
        <w:rPr>
          <w:noProof w:val="0"/>
          <w:rtl/>
        </w:rPr>
        <w:t>בזמן הרכישה באינטרנט, האזרח הותיק יוכל לבחור את סוג הכרטיס המיועד לאזרחים ותיקים.</w:t>
      </w:r>
    </w:p>
    <w:p>
      <w:pPr>
        <w:spacing w:before="240" w:after="100" w:line="360" w:lineRule="auto"/>
        <w:ind w:left="2836" w:hanging="851"/>
        <w:contextualSpacing/>
        <w:jc w:val="both"/>
        <w:rPr>
          <w:noProof w:val="0"/>
        </w:rPr>
      </w:pPr>
      <w:r>
        <w:rPr>
          <w:rFonts w:hint="cs"/>
          <w:noProof w:val="0"/>
          <w:rtl/>
        </w:rPr>
        <w:t>ב.</w:t>
      </w:r>
      <w:r>
        <w:rPr>
          <w:rFonts w:hint="cs"/>
          <w:noProof w:val="0"/>
          <w:rtl/>
        </w:rPr>
        <w:tab/>
      </w:r>
      <w:r>
        <w:rPr>
          <w:noProof w:val="0"/>
          <w:rtl/>
        </w:rPr>
        <w:t>במעמד הרכישה, ישלם האזרח הותיק את המחיר המוזל לאחר קבלת ההנחה על פי החוק והתקנות.</w:t>
      </w:r>
    </w:p>
    <w:p>
      <w:pPr>
        <w:spacing w:before="240" w:after="100" w:line="360" w:lineRule="auto"/>
        <w:ind w:left="2836" w:hanging="851"/>
        <w:contextualSpacing/>
        <w:jc w:val="both"/>
        <w:rPr>
          <w:noProof w:val="0"/>
        </w:rPr>
      </w:pPr>
      <w:r>
        <w:rPr>
          <w:rFonts w:hint="cs"/>
          <w:noProof w:val="0"/>
          <w:rtl/>
        </w:rPr>
        <w:t>ג.</w:t>
      </w:r>
      <w:r>
        <w:rPr>
          <w:rFonts w:hint="cs"/>
          <w:noProof w:val="0"/>
          <w:rtl/>
        </w:rPr>
        <w:tab/>
      </w:r>
      <w:r>
        <w:rPr>
          <w:noProof w:val="0"/>
          <w:rtl/>
        </w:rPr>
        <w:t>קבלת הכרטיסים שנרכשו בדרך זו תעשו בקופות המכירה לפני הקרנת הסרט, כנגד הצגת תעודת אזרח ותיק לקופאי/ הצגת ת.ז. המעידה על גיל, ועם הצגת כרטיס האשראי ששימש לרכישת הכרטיס. לא ניתן יהיה לקבל את הכרטיס דרך המכונות האוטומטיות.</w:t>
      </w:r>
    </w:p>
    <w:p>
      <w:pPr>
        <w:spacing w:before="240" w:after="100" w:line="360" w:lineRule="auto"/>
        <w:ind w:left="1985" w:hanging="851"/>
        <w:contextualSpacing/>
        <w:jc w:val="both"/>
        <w:rPr>
          <w:noProof w:val="0"/>
        </w:rPr>
      </w:pPr>
      <w:r>
        <w:rPr>
          <w:rFonts w:hint="cs"/>
          <w:noProof w:val="0"/>
          <w:rtl/>
        </w:rPr>
        <w:t>2.</w:t>
      </w:r>
      <w:r>
        <w:rPr>
          <w:rFonts w:hint="cs"/>
          <w:noProof w:val="0"/>
          <w:rtl/>
        </w:rPr>
        <w:tab/>
      </w:r>
      <w:r>
        <w:rPr>
          <w:noProof w:val="0"/>
          <w:rtl/>
        </w:rPr>
        <w:t>אזרח ותיק שנמנע מהגעה לקופות בטרם הקרנת הסרט</w:t>
      </w:r>
      <w:r>
        <w:rPr>
          <w:rFonts w:hint="cs"/>
          <w:noProof w:val="0"/>
          <w:rtl/>
        </w:rPr>
        <w:t xml:space="preserve"> </w:t>
      </w:r>
      <w:r>
        <w:rPr>
          <w:noProof w:val="0"/>
          <w:rtl/>
        </w:rPr>
        <w:t>- יהיה מנוע מלקבל את הכרטיס ו/או זיכוי בגינו.</w:t>
      </w:r>
    </w:p>
    <w:p>
      <w:pPr>
        <w:spacing w:before="240" w:after="100" w:line="360" w:lineRule="auto"/>
        <w:ind w:left="1985" w:hanging="851"/>
        <w:contextualSpacing/>
        <w:jc w:val="both"/>
        <w:rPr>
          <w:noProof w:val="0"/>
        </w:rPr>
      </w:pPr>
      <w:r>
        <w:rPr>
          <w:rFonts w:hint="cs"/>
          <w:noProof w:val="0"/>
          <w:rtl/>
        </w:rPr>
        <w:lastRenderedPageBreak/>
        <w:t>3.</w:t>
      </w:r>
      <w:r>
        <w:rPr>
          <w:rFonts w:hint="cs"/>
          <w:noProof w:val="0"/>
          <w:rtl/>
        </w:rPr>
        <w:tab/>
      </w:r>
      <w:r>
        <w:rPr>
          <w:noProof w:val="0"/>
          <w:rtl/>
        </w:rPr>
        <w:t>כל אחת מהמשיבות בהסדר הפשרה תהא אחראית לעדכון אתר האינטרנט שלה באופן בולט באפשרות של אזרחים ותיקים לקבל את ההנחה בעת רכישת כרטיס לסרט ישראלי באתר האינטרנט. עוד יובהר באתר, כי אזרח ותיק שלא יעשה כן, לא יהיה זכאי לקבלת הכרטיס ו/או זיכוי בגינו, והכול בכפוף להוראות כל דין.</w:t>
      </w:r>
    </w:p>
    <w:p>
      <w:pPr>
        <w:spacing w:before="240" w:after="100" w:line="360" w:lineRule="auto"/>
        <w:ind w:left="1985" w:hanging="851"/>
        <w:contextualSpacing/>
        <w:jc w:val="both"/>
        <w:rPr>
          <w:noProof w:val="0"/>
        </w:rPr>
      </w:pPr>
      <w:r>
        <w:rPr>
          <w:rFonts w:hint="cs"/>
          <w:noProof w:val="0"/>
          <w:rtl/>
        </w:rPr>
        <w:t>4.</w:t>
      </w:r>
      <w:r>
        <w:rPr>
          <w:rFonts w:hint="cs"/>
          <w:noProof w:val="0"/>
          <w:rtl/>
        </w:rPr>
        <w:tab/>
      </w:r>
      <w:r>
        <w:rPr>
          <w:noProof w:val="0"/>
          <w:rtl/>
        </w:rPr>
        <w:t>תחילתו של הסדר הפשרה יבוצע עוד טרם יאושר הסדר הפשרה כפסק דין. עד לאישור ההסדר, הוא יבוצע במתווה של פיילוט לא מחייב.</w:t>
      </w:r>
    </w:p>
    <w:p>
      <w:pPr>
        <w:spacing w:before="240" w:after="100" w:line="360" w:lineRule="auto"/>
        <w:ind w:left="1985" w:hanging="851"/>
        <w:contextualSpacing/>
        <w:jc w:val="both"/>
        <w:rPr>
          <w:noProof w:val="0"/>
        </w:rPr>
      </w:pPr>
      <w:r>
        <w:rPr>
          <w:rFonts w:hint="cs"/>
          <w:noProof w:val="0"/>
          <w:rtl/>
        </w:rPr>
        <w:t>5.</w:t>
      </w:r>
      <w:r>
        <w:rPr>
          <w:rFonts w:hint="cs"/>
          <w:noProof w:val="0"/>
          <w:rtl/>
        </w:rPr>
        <w:tab/>
      </w:r>
      <w:r>
        <w:rPr>
          <w:noProof w:val="0"/>
          <w:rtl/>
        </w:rPr>
        <w:t>ההטבה הניתנת לאזרחים הותיקים על פי הסכם זה, תהיה בהתאמה מלאה להנחה הניתנת לאזרחים ותיקים על פי התקנות ובכפוף להסדר הקיים עם המשרד לאזרחים ותיקים. עוד הובהר, כי בפקיעת ההסדר ו/או התקנות יפקע גם הסדר זה.</w:t>
      </w:r>
    </w:p>
    <w:p>
      <w:pPr>
        <w:spacing w:before="240" w:after="100" w:line="360" w:lineRule="auto"/>
        <w:ind w:left="1985" w:hanging="851"/>
        <w:contextualSpacing/>
        <w:jc w:val="both"/>
        <w:rPr>
          <w:noProof w:val="0"/>
        </w:rPr>
      </w:pPr>
      <w:r>
        <w:rPr>
          <w:rFonts w:hint="cs"/>
          <w:noProof w:val="0"/>
          <w:rtl/>
        </w:rPr>
        <w:t>6.</w:t>
      </w:r>
      <w:r>
        <w:rPr>
          <w:rFonts w:hint="cs"/>
          <w:noProof w:val="0"/>
          <w:rtl/>
        </w:rPr>
        <w:tab/>
      </w:r>
      <w:r>
        <w:rPr>
          <w:noProof w:val="0"/>
          <w:rtl/>
        </w:rPr>
        <w:t>הסדר הפשרה לא יחול על הזמנות טלפוניות בשל קשיים טכנולוגיים, חוסר ישימות, וכמות הזמנות טלפוניות זניחה ביותר.</w:t>
      </w:r>
    </w:p>
    <w:p>
      <w:pPr>
        <w:spacing w:before="240" w:after="240" w:line="360" w:lineRule="auto"/>
        <w:ind w:left="1135" w:hanging="851"/>
        <w:jc w:val="both"/>
        <w:rPr>
          <w:b/>
          <w:bCs/>
          <w:noProof w:val="0"/>
        </w:rPr>
      </w:pPr>
      <w:r>
        <w:rPr>
          <w:rFonts w:hint="cs"/>
          <w:noProof w:val="0"/>
          <w:rtl/>
        </w:rPr>
        <w:t>ד.</w:t>
      </w:r>
      <w:r>
        <w:rPr>
          <w:rFonts w:hint="cs"/>
          <w:noProof w:val="0"/>
          <w:rtl/>
        </w:rPr>
        <w:tab/>
      </w:r>
      <w:r>
        <w:rPr>
          <w:b/>
          <w:bCs/>
          <w:noProof w:val="0"/>
          <w:u w:val="single"/>
          <w:rtl/>
        </w:rPr>
        <w:t>ויתור</w:t>
      </w:r>
      <w:r>
        <w:rPr>
          <w:noProof w:val="0"/>
          <w:rtl/>
        </w:rPr>
        <w:t xml:space="preserve"> - בסעיפים 13- 14 להסדר הפשרה נקבע כי</w:t>
      </w:r>
      <w:r>
        <w:rPr>
          <w:b/>
          <w:bCs/>
          <w:noProof w:val="0"/>
          <w:rtl/>
        </w:rPr>
        <w:t xml:space="preserve">: </w:t>
      </w:r>
    </w:p>
    <w:p>
      <w:pPr>
        <w:spacing w:before="240" w:after="240" w:line="360" w:lineRule="auto"/>
        <w:ind w:left="1134"/>
        <w:jc w:val="both"/>
        <w:rPr>
          <w:b/>
          <w:bCs/>
          <w:noProof w:val="0"/>
          <w:rtl/>
        </w:rPr>
      </w:pPr>
      <w:r>
        <w:rPr>
          <w:b/>
          <w:bCs/>
          <w:noProof w:val="0"/>
          <w:rtl/>
        </w:rPr>
        <w:t>"בכפוף לאישורו של הסכם פשרה זה, מוותרים התובעים וחברי הקבוצה שלא מסרו הודעת פרישה כלפי הנתבעים, באופן סופי ומוחלט, על כל טענה ו/או דרישה ו/או זכות ו/או עילה הנובעים ו/או הכרוכים עם איזו מהטענות ו/או הדרישות הכלולות בכתבי הטענות מטעם התובעים, לרבות כפי שתוקנו או פורשו בידי בית המשפט.</w:t>
      </w:r>
    </w:p>
    <w:p>
      <w:pPr>
        <w:spacing w:before="240" w:after="240" w:line="360" w:lineRule="auto"/>
        <w:ind w:left="1134"/>
        <w:jc w:val="both"/>
        <w:rPr>
          <w:b/>
          <w:bCs/>
          <w:noProof w:val="0"/>
        </w:rPr>
      </w:pPr>
      <w:r>
        <w:rPr>
          <w:b/>
          <w:bCs/>
          <w:noProof w:val="0"/>
          <w:rtl/>
        </w:rPr>
        <w:t>עם אישור ההסכם ומתן תוקף של פסק דין על ידי בית המשפט, יתגבש מעשה בי- דין בעניינים נשוא התובענה ובקשת האישור כלפי כל חברי הקבוצה, כך שלחברי הקבוצה לא תעמוד עוד כל טענה או זכות כלפי הנתבעת בעניינים הללו, למעט זכותם לקיום התחייבויות הנתבעת על- פי ההסכם".</w:t>
      </w:r>
    </w:p>
    <w:p>
      <w:pPr>
        <w:spacing w:before="240" w:after="240" w:line="360" w:lineRule="auto"/>
        <w:ind w:left="1135" w:hanging="851"/>
        <w:jc w:val="both"/>
        <w:rPr>
          <w:noProof w:val="0"/>
        </w:rPr>
      </w:pPr>
      <w:r>
        <w:rPr>
          <w:rFonts w:hint="cs"/>
          <w:noProof w:val="0"/>
          <w:rtl/>
        </w:rPr>
        <w:t>ה.</w:t>
      </w:r>
      <w:r>
        <w:rPr>
          <w:rFonts w:hint="cs"/>
          <w:noProof w:val="0"/>
          <w:rtl/>
        </w:rPr>
        <w:tab/>
      </w:r>
      <w:r>
        <w:rPr>
          <w:b/>
          <w:bCs/>
          <w:noProof w:val="0"/>
          <w:u w:val="single"/>
          <w:rtl/>
        </w:rPr>
        <w:t>המלצה לעניין גמול ושכר טרחה</w:t>
      </w:r>
      <w:r>
        <w:rPr>
          <w:b/>
          <w:bCs/>
          <w:noProof w:val="0"/>
          <w:rtl/>
        </w:rPr>
        <w:t xml:space="preserve"> </w:t>
      </w:r>
      <w:r>
        <w:rPr>
          <w:noProof w:val="0"/>
          <w:rtl/>
        </w:rPr>
        <w:t>– בסעיף 15 להסכם הפשרה, ביקשו הצדדים כי בית המשפט יפסוק גמול ושכר טרחה כפי שיראה לנכון ללא טיעון נוסף של הצדדים, בשים לב לתועלת שהביאו הבקשות לאוכלוסיית האזרחים הותיקים.</w:t>
      </w:r>
    </w:p>
    <w:p>
      <w:pPr>
        <w:spacing w:before="240" w:after="240" w:line="360" w:lineRule="auto"/>
        <w:rPr>
          <w:b/>
          <w:bCs/>
          <w:noProof w:val="0"/>
          <w:sz w:val="28"/>
          <w:szCs w:val="28"/>
          <w:rtl/>
        </w:rPr>
      </w:pPr>
    </w:p>
    <w:p>
      <w:pPr>
        <w:spacing w:before="240" w:after="240" w:line="360" w:lineRule="auto"/>
        <w:rPr>
          <w:b/>
          <w:bCs/>
          <w:noProof w:val="0"/>
          <w:sz w:val="28"/>
          <w:szCs w:val="28"/>
          <w:rtl/>
        </w:rPr>
      </w:pPr>
    </w:p>
    <w:p>
      <w:pPr>
        <w:spacing w:before="240" w:after="240" w:line="360" w:lineRule="auto"/>
        <w:rPr>
          <w:b/>
          <w:bCs/>
          <w:noProof w:val="0"/>
          <w:sz w:val="28"/>
          <w:szCs w:val="28"/>
          <w:u w:val="single"/>
        </w:rPr>
      </w:pPr>
      <w:r>
        <w:rPr>
          <w:b/>
          <w:bCs/>
          <w:noProof w:val="0"/>
          <w:sz w:val="28"/>
          <w:szCs w:val="28"/>
          <w:rtl/>
        </w:rPr>
        <w:t xml:space="preserve">ג. </w:t>
      </w:r>
      <w:r>
        <w:rPr>
          <w:b/>
          <w:bCs/>
          <w:noProof w:val="0"/>
          <w:sz w:val="28"/>
          <w:szCs w:val="28"/>
          <w:rtl/>
        </w:rPr>
        <w:tab/>
      </w:r>
      <w:r>
        <w:rPr>
          <w:b/>
          <w:bCs/>
          <w:noProof w:val="0"/>
          <w:sz w:val="28"/>
          <w:szCs w:val="28"/>
          <w:u w:val="single"/>
          <w:rtl/>
        </w:rPr>
        <w:t>אישור הסדר הפשרה</w:t>
      </w:r>
      <w:r>
        <w:rPr>
          <w:rFonts w:hint="cs"/>
          <w:b/>
          <w:bCs/>
          <w:noProof w:val="0"/>
          <w:sz w:val="28"/>
          <w:szCs w:val="28"/>
          <w:u w:val="single"/>
          <w:rtl/>
        </w:rPr>
        <w:t xml:space="preserve"> </w:t>
      </w:r>
    </w:p>
    <w:p>
      <w:pPr>
        <w:spacing w:before="240" w:after="100" w:line="360" w:lineRule="auto"/>
        <w:ind w:left="851" w:hanging="851"/>
        <w:jc w:val="both"/>
        <w:rPr>
          <w:noProof w:val="0"/>
          <w:rtl/>
        </w:rPr>
      </w:pPr>
      <w:r>
        <w:rPr>
          <w:rFonts w:hint="cs"/>
          <w:noProof w:val="0"/>
          <w:rtl/>
        </w:rPr>
        <w:t>16.</w:t>
      </w:r>
      <w:r>
        <w:rPr>
          <w:rFonts w:hint="cs"/>
          <w:noProof w:val="0"/>
          <w:rtl/>
        </w:rPr>
        <w:tab/>
      </w:r>
      <w:r>
        <w:rPr>
          <w:noProof w:val="0"/>
          <w:rtl/>
        </w:rPr>
        <w:t xml:space="preserve">לאחר בחינת הסדר הפשרה מצאתי כי קיימות, לכאורה, שאלות מהותיות המשותפות לחברי הקבוצה, וסיום ההליך בהסדר פשרה הוא הדרך היעילה וההוגנת להכרעה </w:t>
      </w:r>
      <w:r>
        <w:rPr>
          <w:noProof w:val="0"/>
          <w:rtl/>
        </w:rPr>
        <w:lastRenderedPageBreak/>
        <w:t>במחלוקת. בתנאים אלו, מצאתי כי הסדר הפשרה מהווה, להערכתי, הסדר "</w:t>
      </w:r>
      <w:r>
        <w:rPr>
          <w:b/>
          <w:bCs/>
          <w:noProof w:val="0"/>
          <w:rtl/>
        </w:rPr>
        <w:t>ראוי הוגן וסביר בהתחשב בעניינם של חברי הקבוצה</w:t>
      </w:r>
      <w:r>
        <w:rPr>
          <w:noProof w:val="0"/>
          <w:rtl/>
        </w:rPr>
        <w:t>", ולפיכך יש מקום לאשרו. השיקולים המרכזים אשר עומדים לנגד עיני בקובעי זאת הם אלה:</w:t>
      </w:r>
    </w:p>
    <w:p>
      <w:pPr>
        <w:spacing w:before="240" w:after="240" w:line="360" w:lineRule="auto"/>
        <w:ind w:left="850" w:firstLine="1"/>
        <w:jc w:val="both"/>
        <w:rPr>
          <w:rFonts w:asciiTheme="majorBidi" w:hAnsiTheme="majorBidi"/>
          <w:rtl/>
        </w:rPr>
      </w:pPr>
      <w:r>
        <w:rPr>
          <w:rtl/>
        </w:rPr>
        <w:t xml:space="preserve">עניינן של התובענות הוא בהימנעות של </w:t>
      </w:r>
      <w:r>
        <w:rPr>
          <w:rFonts w:hint="cs"/>
          <w:rtl/>
        </w:rPr>
        <w:t xml:space="preserve">המשיבות, המפעילות בתי קולנוע, </w:t>
      </w:r>
      <w:r>
        <w:rPr>
          <w:rtl/>
        </w:rPr>
        <w:t>ממתן הנחות לאזרחים</w:t>
      </w:r>
      <w:r>
        <w:rPr>
          <w:rFonts w:asciiTheme="majorBidi" w:hAnsiTheme="majorBidi"/>
          <w:rtl/>
        </w:rPr>
        <w:t xml:space="preserve"> ותיקים ברכישת כרטיסי כניסה לסרטים ישראליים ולהצגות, כאשר רכישת הכרטיסים מתבצעת דרך אתר האינטרנט או בטלפון</w:t>
      </w:r>
      <w:r>
        <w:rPr>
          <w:rFonts w:asciiTheme="majorBidi" w:hAnsiTheme="majorBidi" w:hint="cs"/>
          <w:rtl/>
        </w:rPr>
        <w:t>. המבקשים טענו כי בכך הפרו המשיבות בהסדר הפשרה את הוראות החוק והתקנות, ואולם טענה זו שנויה במחלוקת</w:t>
      </w:r>
      <w:r>
        <w:rPr>
          <w:rFonts w:asciiTheme="majorBidi" w:hAnsiTheme="majorBidi"/>
          <w:rtl/>
        </w:rPr>
        <w:t>,</w:t>
      </w:r>
      <w:r>
        <w:rPr>
          <w:rFonts w:asciiTheme="majorBidi" w:hAnsiTheme="majorBidi" w:hint="cs"/>
          <w:rtl/>
        </w:rPr>
        <w:t xml:space="preserve"> שכן על פי ההסדר החוקי נדרשת הזדהות באמצעות תעודת אזרח וותיק, עניין שלא ניתן לבצעו כיום בעת הרכישה באמצעות האינטרנט או הטלפון (מתגובת ב"כ היועמ"ש נלמד כי יתכן ובעתיד הקרוב ימצא פתרון טכנולוגי שיאפשר הזדהות כאזרח וותיק, ואם אכן כך יהיה, הרי שההסדר האמור יפתור את הבעיה בה עסקינן). </w:t>
      </w:r>
    </w:p>
    <w:p>
      <w:pPr>
        <w:spacing w:before="240" w:after="240" w:line="360" w:lineRule="auto"/>
        <w:ind w:left="850" w:firstLine="1"/>
        <w:jc w:val="both"/>
        <w:rPr>
          <w:rFonts w:asciiTheme="majorBidi" w:hAnsiTheme="majorBidi"/>
          <w:rtl/>
        </w:rPr>
      </w:pPr>
      <w:r>
        <w:rPr>
          <w:rFonts w:asciiTheme="majorBidi" w:hAnsiTheme="majorBidi" w:hint="cs"/>
          <w:rtl/>
        </w:rPr>
        <w:t>ב"כ היועמ"ש הבהירה בהקשר זה כי כל עוד קיים הקושי הטכני האמור, אין המשרד לאזרחים וותקים דורש כי ההנחה הקבועה בחוק ובתקנות תינתן במסגרת רכישה באינטרנט. עמדה זו תומכת כמובן בעמדת המשיבות.</w:t>
      </w:r>
    </w:p>
    <w:p>
      <w:pPr>
        <w:spacing w:before="240" w:after="240" w:line="360" w:lineRule="auto"/>
        <w:ind w:left="850" w:firstLine="1"/>
        <w:jc w:val="both"/>
        <w:rPr>
          <w:rFonts w:asciiTheme="majorBidi" w:hAnsiTheme="majorBidi"/>
          <w:rtl/>
        </w:rPr>
      </w:pPr>
      <w:r>
        <w:rPr>
          <w:rFonts w:asciiTheme="majorBidi" w:hAnsiTheme="majorBidi" w:hint="cs"/>
          <w:rtl/>
        </w:rPr>
        <w:t xml:space="preserve">בנסיבות אלו, סיכויי התובענה להתקבל אינם נראים גבוהים, ופתרון המאפשר את מתן ההנחות במסגרת רכישה באינטרנט מעתה ואילך, למרות קיומו של הקושי הטכני ביישום הוראות החוק והתקנות, טוב וראוי מאשר התדיינות שבסיומה יתכן ולא יושג דבר לטובת הקבוצה. </w:t>
      </w:r>
    </w:p>
    <w:p>
      <w:pPr>
        <w:spacing w:before="240" w:after="240" w:line="360" w:lineRule="auto"/>
        <w:ind w:left="850" w:firstLine="1"/>
        <w:jc w:val="both"/>
        <w:rPr>
          <w:rFonts w:asciiTheme="majorBidi" w:hAnsiTheme="majorBidi"/>
          <w:rtl/>
        </w:rPr>
      </w:pPr>
      <w:r>
        <w:rPr>
          <w:rFonts w:asciiTheme="majorBidi" w:hAnsiTheme="majorBidi" w:hint="cs"/>
          <w:rtl/>
        </w:rPr>
        <w:t>יצויין כי ההסדר שגובש הועמד לבחינה במסגרת "פיילוט" שבוצע בחודשים ספטמבר ואוקטובר 2015. המשיבות שבהסדר הפשרה מסרו כי הפעלת ה"פיילוט" עברה ללא תקלות, וכי אין מניעה ליישם את ההסדר באופן מחייב מעתה ואילך.</w:t>
      </w:r>
    </w:p>
    <w:p>
      <w:pPr>
        <w:spacing w:before="240" w:after="240" w:line="360" w:lineRule="auto"/>
        <w:ind w:left="857" w:hanging="851"/>
        <w:contextualSpacing/>
        <w:jc w:val="both"/>
        <w:rPr>
          <w:noProof w:val="0"/>
        </w:rPr>
      </w:pPr>
      <w:r>
        <w:rPr>
          <w:rFonts w:hint="cs"/>
          <w:noProof w:val="0"/>
          <w:rtl/>
        </w:rPr>
        <w:t>17.</w:t>
      </w:r>
      <w:r>
        <w:rPr>
          <w:rFonts w:hint="cs"/>
          <w:noProof w:val="0"/>
          <w:rtl/>
        </w:rPr>
        <w:tab/>
      </w:r>
      <w:r>
        <w:rPr>
          <w:noProof w:val="0"/>
          <w:rtl/>
        </w:rPr>
        <w:t>לאור כל האמור לעיל, מסקנתי היא כי יש מקום לאשר את הסדר הפשרה כמבוקש, ולתת לו תוקף של פסק דין, וזאת בהתאם למפורט בפסק דין זה.</w:t>
      </w:r>
    </w:p>
    <w:p>
      <w:pPr>
        <w:spacing w:before="240" w:after="240" w:line="360" w:lineRule="auto"/>
        <w:ind w:left="366"/>
        <w:contextualSpacing/>
        <w:jc w:val="both"/>
        <w:rPr>
          <w:noProof w:val="0"/>
          <w:rtl/>
        </w:rPr>
      </w:pPr>
    </w:p>
    <w:p>
      <w:pPr>
        <w:spacing w:before="240" w:after="240" w:line="360" w:lineRule="auto"/>
        <w:ind w:left="366"/>
        <w:contextualSpacing/>
        <w:jc w:val="both"/>
        <w:rPr>
          <w:noProof w:val="0"/>
          <w:rtl/>
        </w:rPr>
      </w:pPr>
    </w:p>
    <w:p>
      <w:pPr>
        <w:spacing w:before="240" w:after="240" w:line="360" w:lineRule="auto"/>
        <w:ind w:left="366"/>
        <w:contextualSpacing/>
        <w:jc w:val="both"/>
        <w:rPr>
          <w:noProof w:val="0"/>
          <w:rtl/>
        </w:rPr>
      </w:pPr>
    </w:p>
    <w:p>
      <w:pPr>
        <w:spacing w:before="240" w:after="240" w:line="360" w:lineRule="auto"/>
        <w:ind w:left="366"/>
        <w:contextualSpacing/>
        <w:jc w:val="both"/>
        <w:rPr>
          <w:noProof w:val="0"/>
        </w:rPr>
      </w:pPr>
    </w:p>
    <w:p>
      <w:pPr>
        <w:spacing w:before="240" w:after="240" w:line="360" w:lineRule="auto"/>
        <w:rPr>
          <w:b/>
          <w:bCs/>
          <w:noProof w:val="0"/>
          <w:sz w:val="28"/>
          <w:szCs w:val="28"/>
          <w:u w:val="single"/>
          <w:rtl/>
        </w:rPr>
      </w:pPr>
      <w:r>
        <w:rPr>
          <w:b/>
          <w:bCs/>
          <w:noProof w:val="0"/>
          <w:sz w:val="28"/>
          <w:szCs w:val="28"/>
          <w:rtl/>
        </w:rPr>
        <w:t xml:space="preserve">ד. </w:t>
      </w:r>
      <w:r>
        <w:rPr>
          <w:b/>
          <w:bCs/>
          <w:noProof w:val="0"/>
          <w:sz w:val="28"/>
          <w:szCs w:val="28"/>
          <w:rtl/>
        </w:rPr>
        <w:tab/>
      </w:r>
      <w:r>
        <w:rPr>
          <w:b/>
          <w:bCs/>
          <w:noProof w:val="0"/>
          <w:sz w:val="28"/>
          <w:szCs w:val="28"/>
          <w:u w:val="single"/>
          <w:rtl/>
        </w:rPr>
        <w:t xml:space="preserve">מינוי בודק </w:t>
      </w:r>
    </w:p>
    <w:p>
      <w:pPr>
        <w:spacing w:before="240" w:after="100" w:line="360" w:lineRule="auto"/>
        <w:ind w:left="851" w:hanging="851"/>
        <w:jc w:val="both"/>
        <w:rPr>
          <w:noProof w:val="0"/>
        </w:rPr>
      </w:pPr>
      <w:r>
        <w:rPr>
          <w:rFonts w:hint="cs"/>
          <w:noProof w:val="0"/>
          <w:rtl/>
        </w:rPr>
        <w:t>18.</w:t>
      </w:r>
      <w:r>
        <w:rPr>
          <w:rFonts w:hint="cs"/>
          <w:noProof w:val="0"/>
          <w:rtl/>
        </w:rPr>
        <w:tab/>
      </w:r>
      <w:r>
        <w:rPr>
          <w:noProof w:val="0"/>
          <w:rtl/>
        </w:rPr>
        <w:t xml:space="preserve">במקרה שלפני מצאתי כי ניתן לאשר את הסכם הפשרה ללא מינוי בודק, </w:t>
      </w:r>
      <w:r>
        <w:rPr>
          <w:rFonts w:hint="cs"/>
          <w:noProof w:val="0"/>
          <w:rtl/>
        </w:rPr>
        <w:t xml:space="preserve">מאחר שהוא מבוסס על הסדרה עתידית בלבד. </w:t>
      </w:r>
    </w:p>
    <w:p>
      <w:pPr>
        <w:spacing w:before="240" w:after="240" w:line="360" w:lineRule="auto"/>
        <w:rPr>
          <w:b/>
          <w:bCs/>
          <w:noProof w:val="0"/>
          <w:sz w:val="28"/>
          <w:szCs w:val="28"/>
          <w:rtl/>
        </w:rPr>
      </w:pPr>
      <w:r>
        <w:rPr>
          <w:b/>
          <w:bCs/>
          <w:noProof w:val="0"/>
          <w:sz w:val="28"/>
          <w:szCs w:val="28"/>
          <w:rtl/>
        </w:rPr>
        <w:lastRenderedPageBreak/>
        <w:t xml:space="preserve">ה. </w:t>
      </w:r>
      <w:r>
        <w:rPr>
          <w:b/>
          <w:bCs/>
          <w:noProof w:val="0"/>
          <w:sz w:val="28"/>
          <w:szCs w:val="28"/>
          <w:rtl/>
        </w:rPr>
        <w:tab/>
      </w:r>
      <w:r>
        <w:rPr>
          <w:rFonts w:hint="cs"/>
          <w:b/>
          <w:bCs/>
          <w:noProof w:val="0"/>
          <w:sz w:val="28"/>
          <w:szCs w:val="28"/>
          <w:u w:val="single"/>
          <w:rtl/>
        </w:rPr>
        <w:t>אישור ההסתלקות כלפי תאטרון הבימה</w:t>
      </w:r>
    </w:p>
    <w:p>
      <w:pPr>
        <w:spacing w:before="240" w:after="100" w:line="360" w:lineRule="auto"/>
        <w:ind w:left="851" w:hanging="851"/>
        <w:jc w:val="both"/>
        <w:rPr>
          <w:noProof w:val="0"/>
          <w:rtl/>
        </w:rPr>
      </w:pPr>
      <w:r>
        <w:rPr>
          <w:rFonts w:hint="cs"/>
          <w:noProof w:val="0"/>
          <w:rtl/>
        </w:rPr>
        <w:t>19.</w:t>
      </w:r>
      <w:r>
        <w:rPr>
          <w:rFonts w:hint="cs"/>
          <w:noProof w:val="0"/>
          <w:rtl/>
        </w:rPr>
        <w:tab/>
        <w:t>עוד לפני גיבוש הסדר הפשרה הודיעה המשיבה 2 כי היא מבקשת להסתלק מהתובענה כנגד תיאטרון הבימה, וזאת לאור הודעת תיאטרון הבימה כי חברי הקבוצה לא זכו להנחה רק במהלך תקופת ההרצה של אתר האינטרנט, עניין שתוקן כבר בספטמבר 2014, ואשר גרם נזק לקבוצה קטנה של זכאים להטבה (אשר גם הם זכאים להחזר ככל שיפנו). לאור אישור הסדר הפשרה, המבוסס על הסדרה עתידית בלבד, פשיטא כי יש מקום לאשר גם את הודעת ההסתלקות, וזאת ללא צורך בנקיטת פעולות נוספות בעניין זה.</w:t>
      </w:r>
    </w:p>
    <w:p>
      <w:pPr>
        <w:spacing w:before="240" w:after="240" w:line="360" w:lineRule="auto"/>
        <w:rPr>
          <w:b/>
          <w:bCs/>
          <w:noProof w:val="0"/>
          <w:sz w:val="28"/>
          <w:szCs w:val="28"/>
          <w:u w:val="single"/>
        </w:rPr>
      </w:pPr>
      <w:r>
        <w:rPr>
          <w:rFonts w:hint="cs"/>
          <w:b/>
          <w:bCs/>
          <w:noProof w:val="0"/>
          <w:sz w:val="28"/>
          <w:szCs w:val="28"/>
          <w:rtl/>
        </w:rPr>
        <w:t>ו.</w:t>
      </w:r>
      <w:r>
        <w:rPr>
          <w:b/>
          <w:bCs/>
          <w:noProof w:val="0"/>
          <w:sz w:val="28"/>
          <w:szCs w:val="28"/>
          <w:rtl/>
        </w:rPr>
        <w:tab/>
      </w:r>
      <w:r>
        <w:rPr>
          <w:b/>
          <w:bCs/>
          <w:noProof w:val="0"/>
          <w:sz w:val="28"/>
          <w:szCs w:val="28"/>
          <w:u w:val="single"/>
          <w:rtl/>
        </w:rPr>
        <w:t xml:space="preserve">גמול לתובע המייצג ושכר טרחה לבאי הכוח המייצגים </w:t>
      </w:r>
    </w:p>
    <w:p>
      <w:pPr>
        <w:spacing w:before="240" w:after="100" w:line="360" w:lineRule="auto"/>
        <w:ind w:left="857" w:hanging="851"/>
        <w:jc w:val="both"/>
        <w:rPr>
          <w:noProof w:val="0"/>
          <w:rtl/>
        </w:rPr>
      </w:pPr>
      <w:bookmarkStart w:id="2" w:name="_Ref423351913"/>
      <w:r>
        <w:rPr>
          <w:rFonts w:hint="cs"/>
          <w:noProof w:val="0"/>
          <w:rtl/>
        </w:rPr>
        <w:t>19.</w:t>
      </w:r>
      <w:r>
        <w:rPr>
          <w:rFonts w:hint="cs"/>
          <w:noProof w:val="0"/>
          <w:rtl/>
        </w:rPr>
        <w:tab/>
      </w:r>
      <w:r>
        <w:rPr>
          <w:noProof w:val="0"/>
          <w:rtl/>
        </w:rPr>
        <w:t>כפי שכתב ב"כ היועץ המשפטי לממשלה, ההסדר משפר את מצבם של האזרחים הותיקים לעומת המצב הקיים. לאחר בחינת התועלת שהבקשות הביאו לאוכלוסיית האזרחים הותיקים, ובשים לב לבקשת ההסתלקות ולתקופה הקצרה בה המשיבה 5 לא נתנה לאזרחים ותיקים לרכוש כרטיסים דרך אתר האינטרנט, ובהתחשב בשלב הדיוני בו הושגה הפשרה ולהשקעה שנדרשה מבא כוח המייצגים בעת ניהול הליכי המשא ומתן, הריני לפסוק כדלקמן:</w:t>
      </w:r>
      <w:bookmarkEnd w:id="2"/>
    </w:p>
    <w:p>
      <w:pPr>
        <w:spacing w:before="240" w:after="100" w:line="360" w:lineRule="auto"/>
        <w:ind w:left="851"/>
        <w:jc w:val="both"/>
        <w:rPr>
          <w:noProof w:val="0"/>
          <w:rtl/>
        </w:rPr>
      </w:pPr>
      <w:r>
        <w:rPr>
          <w:noProof w:val="0"/>
          <w:rtl/>
        </w:rPr>
        <w:t>המשיבה 5 תשלם למבקשת 2 גמול בגובה של</w:t>
      </w:r>
      <w:r>
        <w:rPr>
          <w:rFonts w:hint="cs"/>
          <w:noProof w:val="0"/>
          <w:rtl/>
        </w:rPr>
        <w:t xml:space="preserve"> 2,500</w:t>
      </w:r>
      <w:r>
        <w:rPr>
          <w:noProof w:val="0"/>
          <w:rtl/>
        </w:rPr>
        <w:t xml:space="preserve"> ש"ח, ושכר טרחה לבא </w:t>
      </w:r>
      <w:r>
        <w:rPr>
          <w:rFonts w:hint="cs"/>
          <w:noProof w:val="0"/>
          <w:rtl/>
        </w:rPr>
        <w:t xml:space="preserve">הכוח המייצג </w:t>
      </w:r>
      <w:r>
        <w:rPr>
          <w:noProof w:val="0"/>
          <w:rtl/>
        </w:rPr>
        <w:t xml:space="preserve">בגובה של </w:t>
      </w:r>
      <w:r>
        <w:rPr>
          <w:rFonts w:hint="cs"/>
          <w:noProof w:val="0"/>
          <w:rtl/>
        </w:rPr>
        <w:t>10</w:t>
      </w:r>
      <w:r>
        <w:rPr>
          <w:noProof w:val="0"/>
          <w:rtl/>
        </w:rPr>
        <w:t xml:space="preserve">,000 </w:t>
      </w:r>
      <w:r>
        <w:rPr>
          <w:rFonts w:hint="cs"/>
          <w:noProof w:val="0"/>
          <w:rtl/>
        </w:rPr>
        <w:t>ש"ח בתוספת מע"מ</w:t>
      </w:r>
      <w:r>
        <w:rPr>
          <w:noProof w:val="0"/>
          <w:rtl/>
        </w:rPr>
        <w:t>.</w:t>
      </w:r>
    </w:p>
    <w:p>
      <w:pPr>
        <w:spacing w:before="240" w:after="100" w:line="360" w:lineRule="auto"/>
        <w:ind w:left="851"/>
        <w:jc w:val="both"/>
        <w:rPr>
          <w:noProof w:val="0"/>
          <w:rtl/>
        </w:rPr>
      </w:pPr>
      <w:r>
        <w:rPr>
          <w:noProof w:val="0"/>
          <w:rtl/>
        </w:rPr>
        <w:t>המשיבות בהסדר הפשרה ישלמו</w:t>
      </w:r>
      <w:r>
        <w:rPr>
          <w:rFonts w:hint="cs"/>
          <w:noProof w:val="0"/>
          <w:rtl/>
        </w:rPr>
        <w:t xml:space="preserve"> </w:t>
      </w:r>
      <w:r>
        <w:rPr>
          <w:noProof w:val="0"/>
          <w:rtl/>
        </w:rPr>
        <w:t xml:space="preserve">למבקשים 1, 3 גמול בגובה של </w:t>
      </w:r>
      <w:r>
        <w:rPr>
          <w:rFonts w:hint="cs"/>
          <w:noProof w:val="0"/>
          <w:rtl/>
        </w:rPr>
        <w:t>5</w:t>
      </w:r>
      <w:r>
        <w:rPr>
          <w:noProof w:val="0"/>
          <w:rtl/>
        </w:rPr>
        <w:t xml:space="preserve">,000 ש"ח לכל מבקש, ושכר טרחה </w:t>
      </w:r>
      <w:r>
        <w:rPr>
          <w:rFonts w:hint="cs"/>
          <w:noProof w:val="0"/>
          <w:rtl/>
        </w:rPr>
        <w:t xml:space="preserve">לבא הכוח המייצג </w:t>
      </w:r>
      <w:r>
        <w:rPr>
          <w:noProof w:val="0"/>
          <w:rtl/>
        </w:rPr>
        <w:t xml:space="preserve">בגובה של </w:t>
      </w:r>
      <w:r>
        <w:rPr>
          <w:rFonts w:hint="cs"/>
          <w:noProof w:val="0"/>
          <w:rtl/>
        </w:rPr>
        <w:t>8</w:t>
      </w:r>
      <w:r>
        <w:rPr>
          <w:noProof w:val="0"/>
          <w:rtl/>
        </w:rPr>
        <w:t xml:space="preserve">0,000 </w:t>
      </w:r>
      <w:r>
        <w:rPr>
          <w:rFonts w:hint="cs"/>
          <w:noProof w:val="0"/>
          <w:rtl/>
        </w:rPr>
        <w:t>ש"ח בתוספת מע"מ</w:t>
      </w:r>
      <w:r>
        <w:rPr>
          <w:noProof w:val="0"/>
          <w:rtl/>
        </w:rPr>
        <w:t>.</w:t>
      </w:r>
      <w:r>
        <w:rPr>
          <w:rFonts w:hint="cs"/>
          <w:noProof w:val="0"/>
          <w:rtl/>
        </w:rPr>
        <w:t xml:space="preserve"> ביחסים הפנימיים יתחלקו התשלומים כך: המשיבה 1 תישא ב- 25%, המשיבות 2- 4 ב- 50% והמשיבה 6 ב- 25%.</w:t>
      </w:r>
    </w:p>
    <w:p>
      <w:pPr>
        <w:spacing w:before="240" w:after="240" w:line="360" w:lineRule="auto"/>
        <w:rPr>
          <w:b/>
          <w:bCs/>
          <w:noProof w:val="0"/>
          <w:sz w:val="28"/>
          <w:szCs w:val="28"/>
          <w:u w:val="single"/>
        </w:rPr>
      </w:pPr>
      <w:r>
        <w:rPr>
          <w:rFonts w:hint="cs"/>
          <w:b/>
          <w:bCs/>
          <w:noProof w:val="0"/>
          <w:sz w:val="28"/>
          <w:szCs w:val="28"/>
          <w:rtl/>
        </w:rPr>
        <w:t>ז</w:t>
      </w:r>
      <w:r>
        <w:rPr>
          <w:b/>
          <w:bCs/>
          <w:noProof w:val="0"/>
          <w:sz w:val="28"/>
          <w:szCs w:val="28"/>
          <w:rtl/>
        </w:rPr>
        <w:t xml:space="preserve">. </w:t>
      </w:r>
      <w:r>
        <w:rPr>
          <w:b/>
          <w:bCs/>
          <w:noProof w:val="0"/>
          <w:sz w:val="28"/>
          <w:szCs w:val="28"/>
          <w:rtl/>
        </w:rPr>
        <w:tab/>
      </w:r>
      <w:r>
        <w:rPr>
          <w:b/>
          <w:bCs/>
          <w:noProof w:val="0"/>
          <w:sz w:val="28"/>
          <w:szCs w:val="28"/>
          <w:u w:val="single"/>
          <w:rtl/>
        </w:rPr>
        <w:t>סוף דבר</w:t>
      </w:r>
    </w:p>
    <w:p>
      <w:pPr>
        <w:spacing w:before="240" w:after="100" w:line="360" w:lineRule="auto"/>
        <w:ind w:left="857" w:hanging="851"/>
        <w:jc w:val="both"/>
        <w:rPr>
          <w:rFonts w:ascii="Arial" w:hAnsi="Arial"/>
          <w:noProof w:val="0"/>
        </w:rPr>
      </w:pPr>
      <w:r>
        <w:rPr>
          <w:rFonts w:ascii="Arial" w:hAnsi="Arial" w:hint="cs"/>
          <w:noProof w:val="0"/>
          <w:rtl/>
        </w:rPr>
        <w:t>20.</w:t>
      </w:r>
      <w:r>
        <w:rPr>
          <w:rFonts w:ascii="Arial" w:hAnsi="Arial" w:hint="cs"/>
          <w:noProof w:val="0"/>
          <w:rtl/>
        </w:rPr>
        <w:tab/>
      </w:r>
      <w:r>
        <w:rPr>
          <w:rFonts w:ascii="Arial" w:hAnsi="Arial"/>
          <w:noProof w:val="0"/>
          <w:rtl/>
        </w:rPr>
        <w:t>לאור האמור הריני מאשר את הסדר הפשרה ואת בקשת ההסתלקות, בהתאם למפורט בפסק דין זה.</w:t>
      </w:r>
    </w:p>
    <w:p>
      <w:pPr>
        <w:spacing w:before="240" w:after="100" w:line="360" w:lineRule="auto"/>
        <w:ind w:left="857" w:hanging="851"/>
        <w:jc w:val="both"/>
        <w:rPr>
          <w:rFonts w:asciiTheme="majorBidi" w:hAnsiTheme="majorBidi"/>
          <w:noProof w:val="0"/>
        </w:rPr>
      </w:pPr>
      <w:r>
        <w:rPr>
          <w:rFonts w:asciiTheme="majorBidi" w:hAnsiTheme="majorBidi" w:hint="cs"/>
          <w:noProof w:val="0"/>
          <w:rtl/>
        </w:rPr>
        <w:t>21.</w:t>
      </w:r>
      <w:r>
        <w:rPr>
          <w:rFonts w:asciiTheme="majorBidi" w:hAnsiTheme="majorBidi" w:hint="cs"/>
          <w:noProof w:val="0"/>
          <w:rtl/>
        </w:rPr>
        <w:tab/>
      </w:r>
      <w:r>
        <w:rPr>
          <w:rFonts w:asciiTheme="majorBidi" w:hAnsiTheme="majorBidi"/>
          <w:noProof w:val="0"/>
          <w:rtl/>
        </w:rPr>
        <w:t>חבר קבוצה אשר נתקל בבעיה בקשר לביצוע הסדר הפשרה יהיה זכאי לפנות לבא</w:t>
      </w:r>
      <w:r>
        <w:rPr>
          <w:rFonts w:asciiTheme="majorBidi" w:hAnsiTheme="majorBidi" w:hint="cs"/>
          <w:noProof w:val="0"/>
          <w:rtl/>
        </w:rPr>
        <w:t>י הכוח המייצגים</w:t>
      </w:r>
      <w:r>
        <w:rPr>
          <w:rFonts w:asciiTheme="majorBidi" w:hAnsiTheme="majorBidi"/>
          <w:noProof w:val="0"/>
          <w:rtl/>
        </w:rPr>
        <w:t xml:space="preserve">, והוא יטפל בתלונתו מול המשיבות, וזאת מבלי שחבר הקבוצה יידרש לשלם שכר טרחה או כל תשלום אחר בגין הטיפול. </w:t>
      </w:r>
    </w:p>
    <w:p>
      <w:pPr>
        <w:spacing w:before="240" w:after="100" w:line="360" w:lineRule="auto"/>
        <w:ind w:left="851" w:hanging="851"/>
        <w:jc w:val="both"/>
        <w:rPr>
          <w:rFonts w:asciiTheme="majorBidi" w:hAnsiTheme="majorBidi"/>
          <w:noProof w:val="0"/>
        </w:rPr>
      </w:pPr>
      <w:r>
        <w:rPr>
          <w:rFonts w:asciiTheme="majorBidi" w:hAnsiTheme="majorBidi" w:hint="cs"/>
          <w:noProof w:val="0"/>
          <w:rtl/>
        </w:rPr>
        <w:t>22.</w:t>
      </w:r>
      <w:r>
        <w:rPr>
          <w:rFonts w:asciiTheme="majorBidi" w:hAnsiTheme="majorBidi" w:hint="cs"/>
          <w:noProof w:val="0"/>
          <w:rtl/>
        </w:rPr>
        <w:tab/>
      </w:r>
      <w:r>
        <w:rPr>
          <w:rFonts w:asciiTheme="majorBidi" w:hAnsiTheme="majorBidi"/>
          <w:noProof w:val="0"/>
          <w:rtl/>
        </w:rPr>
        <w:t xml:space="preserve">הצדדים יפרסמו, על חשבון המשיבות בהסדר הפשרה הודעה בדבר אישור הסדר הפשרה בהתאם לסעיף 25(א)(4) לחוק תובענות ייצוגיות בשניים מהעיתונים היומיים הנפוצים בישראל. נוסח ההודעה, </w:t>
      </w:r>
      <w:r>
        <w:rPr>
          <w:rFonts w:asciiTheme="majorBidi" w:hAnsiTheme="majorBidi" w:hint="cs"/>
          <w:noProof w:val="0"/>
          <w:rtl/>
        </w:rPr>
        <w:t xml:space="preserve">אשר יכלול הבהרה ביחס לאמור בפסקה 21 לעיל, </w:t>
      </w:r>
      <w:r>
        <w:rPr>
          <w:rFonts w:asciiTheme="majorBidi" w:hAnsiTheme="majorBidi"/>
          <w:noProof w:val="0"/>
          <w:rtl/>
        </w:rPr>
        <w:t xml:space="preserve">וכן הפניה </w:t>
      </w:r>
      <w:r>
        <w:rPr>
          <w:rFonts w:asciiTheme="majorBidi" w:hAnsiTheme="majorBidi"/>
          <w:noProof w:val="0"/>
          <w:rtl/>
        </w:rPr>
        <w:lastRenderedPageBreak/>
        <w:t>לכתובת אינטרנט פשוטה בה ניתן יהיה לעיין בהסדר הפשרה ובפסק דין זה, יועבר לאישור בית המשפט עד ליום 14.11.15.</w:t>
      </w:r>
    </w:p>
    <w:p>
      <w:pPr>
        <w:spacing w:before="240" w:after="100" w:line="360" w:lineRule="auto"/>
        <w:ind w:left="851" w:hanging="851"/>
        <w:jc w:val="both"/>
        <w:rPr>
          <w:noProof w:val="0"/>
          <w:rtl/>
        </w:rPr>
      </w:pPr>
      <w:r>
        <w:rPr>
          <w:rFonts w:hint="cs"/>
          <w:noProof w:val="0"/>
          <w:rtl/>
        </w:rPr>
        <w:t>23.</w:t>
      </w:r>
      <w:r>
        <w:rPr>
          <w:rFonts w:hint="cs"/>
          <w:noProof w:val="0"/>
          <w:rtl/>
        </w:rPr>
        <w:tab/>
      </w:r>
      <w:r>
        <w:rPr>
          <w:noProof w:val="0"/>
          <w:rtl/>
        </w:rPr>
        <w:t xml:space="preserve">הגמול </w:t>
      </w:r>
      <w:r>
        <w:rPr>
          <w:rFonts w:hint="cs"/>
          <w:noProof w:val="0"/>
          <w:rtl/>
        </w:rPr>
        <w:t>ל</w:t>
      </w:r>
      <w:r>
        <w:rPr>
          <w:noProof w:val="0"/>
          <w:rtl/>
        </w:rPr>
        <w:t xml:space="preserve">מבקשים ושכר הטרחה </w:t>
      </w:r>
      <w:r>
        <w:rPr>
          <w:rFonts w:hint="cs"/>
          <w:noProof w:val="0"/>
          <w:rtl/>
        </w:rPr>
        <w:t xml:space="preserve">לבא הכוח המייצג יהיו כאמור בפסקה 19 לעיל. הגמול ושכר הטרחה </w:t>
      </w:r>
      <w:r>
        <w:rPr>
          <w:noProof w:val="0"/>
          <w:rtl/>
        </w:rPr>
        <w:t>(הן בבקשת ההסתלקות והן בהסדר הפשרה) ישול</w:t>
      </w:r>
      <w:r>
        <w:rPr>
          <w:rFonts w:hint="cs"/>
          <w:noProof w:val="0"/>
          <w:rtl/>
        </w:rPr>
        <w:t>מו</w:t>
      </w:r>
      <w:r>
        <w:rPr>
          <w:noProof w:val="0"/>
          <w:rtl/>
        </w:rPr>
        <w:t xml:space="preserve"> תוך 30 ימים מהיום שפסק הדין </w:t>
      </w:r>
      <w:r>
        <w:rPr>
          <w:rFonts w:hint="cs"/>
          <w:noProof w:val="0"/>
          <w:rtl/>
        </w:rPr>
        <w:t>י</w:t>
      </w:r>
      <w:r>
        <w:rPr>
          <w:noProof w:val="0"/>
          <w:rtl/>
        </w:rPr>
        <w:t>הפ</w:t>
      </w:r>
      <w:r>
        <w:rPr>
          <w:rFonts w:hint="cs"/>
          <w:noProof w:val="0"/>
          <w:rtl/>
        </w:rPr>
        <w:t>ו</w:t>
      </w:r>
      <w:r>
        <w:rPr>
          <w:noProof w:val="0"/>
          <w:rtl/>
        </w:rPr>
        <w:t xml:space="preserve">ך </w:t>
      </w:r>
      <w:r>
        <w:rPr>
          <w:rFonts w:hint="cs"/>
          <w:noProof w:val="0"/>
          <w:rtl/>
        </w:rPr>
        <w:t>ל</w:t>
      </w:r>
      <w:r>
        <w:rPr>
          <w:noProof w:val="0"/>
          <w:rtl/>
        </w:rPr>
        <w:t xml:space="preserve">חלוט. </w:t>
      </w:r>
    </w:p>
    <w:p>
      <w:pPr>
        <w:spacing w:before="120" w:after="120" w:line="360" w:lineRule="auto"/>
        <w:ind w:left="851" w:hanging="851"/>
        <w:contextualSpacing/>
        <w:jc w:val="both"/>
        <w:rPr>
          <w:rFonts w:ascii="Arial" w:hAnsi="Arial"/>
          <w:b/>
          <w:bCs/>
          <w:noProof w:val="0"/>
        </w:rPr>
      </w:pPr>
      <w:r>
        <w:rPr>
          <w:rFonts w:ascii="Arial" w:hAnsi="Arial" w:hint="cs"/>
          <w:noProof w:val="0"/>
          <w:rtl/>
        </w:rPr>
        <w:t>24</w:t>
      </w:r>
      <w:r>
        <w:rPr>
          <w:rFonts w:hint="cs"/>
          <w:b/>
          <w:bCs/>
          <w:noProof w:val="0"/>
          <w:rtl/>
        </w:rPr>
        <w:t>.</w:t>
      </w:r>
      <w:r>
        <w:rPr>
          <w:rFonts w:hint="cs"/>
          <w:b/>
          <w:bCs/>
          <w:noProof w:val="0"/>
          <w:rtl/>
        </w:rPr>
        <w:tab/>
      </w:r>
      <w:r>
        <w:rPr>
          <w:b/>
          <w:bCs/>
          <w:noProof w:val="0"/>
          <w:rtl/>
        </w:rPr>
        <w:t>המזכירות</w:t>
      </w:r>
      <w:r>
        <w:rPr>
          <w:rFonts w:ascii="Arial" w:hAnsi="Arial"/>
          <w:b/>
          <w:bCs/>
          <w:noProof w:val="0"/>
          <w:rtl/>
        </w:rPr>
        <w:t xml:space="preserve"> תעביר פסק דין זה למנהל בתי המשפט לשם רישומו בפנקס התובענות הייצוגיות. </w:t>
      </w:r>
    </w:p>
    <w:p>
      <w:pPr>
        <w:spacing w:line="360" w:lineRule="auto"/>
        <w:jc w:val="both"/>
        <w:rPr>
          <w:rFonts w:ascii="Arial" w:hAnsi="Arial"/>
          <w:b/>
          <w:bCs/>
          <w:noProof w:val="0"/>
          <w:rtl/>
        </w:rPr>
      </w:pPr>
    </w:p>
    <w:p>
      <w:pPr>
        <w:spacing w:line="360" w:lineRule="auto"/>
        <w:jc w:val="both"/>
        <w:rPr>
          <w:rFonts w:ascii="Arial" w:hAnsi="Arial"/>
          <w:b/>
          <w:bCs/>
          <w:noProof w:val="0"/>
          <w:rtl/>
        </w:rPr>
      </w:pPr>
      <w:r>
        <w:rPr>
          <w:rFonts w:ascii="Arial" w:hAnsi="Arial"/>
          <w:b/>
          <w:bCs/>
          <w:noProof w:val="0"/>
          <w:rtl/>
        </w:rPr>
        <w:t>תז"פ 15.11.15</w:t>
      </w:r>
    </w:p>
    <w:p>
      <w:pPr>
        <w:spacing w:line="360" w:lineRule="auto"/>
        <w:jc w:val="both"/>
        <w:rPr>
          <w:rFonts w:ascii="Arial" w:hAnsi="Arial"/>
          <w:b/>
          <w:bCs/>
          <w:noProof w:val="0"/>
          <w:rtl/>
        </w:rPr>
      </w:pPr>
    </w:p>
    <w:p>
      <w:pPr>
        <w:spacing w:line="360" w:lineRule="auto"/>
        <w:jc w:val="both"/>
        <w:rPr>
          <w:rFonts w:ascii="Arial" w:hAnsi="Arial"/>
          <w:b/>
          <w:bCs/>
          <w:noProof w:val="0"/>
          <w:rtl/>
        </w:rPr>
      </w:pPr>
      <w:r>
        <w:rPr>
          <w:rFonts w:ascii="Arial" w:hAnsi="Arial"/>
          <w:b/>
          <w:bCs/>
          <w:noProof w:val="0"/>
          <w:rtl/>
        </w:rPr>
        <w:t xml:space="preserve">ניתן היום,  </w:t>
      </w:r>
      <w:sdt>
        <w:sdtPr>
          <w:rPr>
            <w:b/>
            <w:bCs/>
            <w:rtl/>
          </w:rPr>
          <w:alias w:val="1455"/>
          <w:tag w:val="1455"/>
          <w:id w:val="242217728"/>
          <w:text w:multiLine="1"/>
        </w:sdtPr>
        <w:sdtContent>
          <w:r>
            <w:rPr>
              <w:rFonts w:ascii="Arial" w:hAnsi="Arial"/>
              <w:b/>
              <w:bCs/>
              <w:noProof w:val="0"/>
              <w:rtl/>
            </w:rPr>
            <w:t>כ"ב חשוון תשע"ו</w:t>
          </w:r>
        </w:sdtContent>
      </w:sdt>
      <w:r>
        <w:rPr>
          <w:rFonts w:ascii="Arial" w:hAnsi="Arial"/>
          <w:b/>
          <w:bCs/>
          <w:noProof w:val="0"/>
          <w:rtl/>
        </w:rPr>
        <w:t xml:space="preserve">, </w:t>
      </w:r>
      <w:sdt>
        <w:sdtPr>
          <w:rPr>
            <w:b/>
            <w:bCs/>
            <w:rtl/>
          </w:rPr>
          <w:alias w:val="1456"/>
          <w:tag w:val="1456"/>
          <w:id w:val="-1101635932"/>
          <w:text w:multiLine="1"/>
        </w:sdtPr>
        <w:sdtContent>
          <w:r>
            <w:rPr>
              <w:rFonts w:ascii="Arial" w:hAnsi="Arial"/>
              <w:b/>
              <w:bCs/>
              <w:noProof w:val="0"/>
              <w:rtl/>
            </w:rPr>
            <w:t>04 נובמבר 2015</w:t>
          </w:r>
        </w:sdtContent>
      </w:sdt>
      <w:r>
        <w:rPr>
          <w:rFonts w:ascii="Arial" w:hAnsi="Arial"/>
          <w:b/>
          <w:bCs/>
          <w:noProof w:val="0"/>
          <w:rtl/>
        </w:rPr>
        <w:t>, בהעדר הצדדים.</w:t>
      </w:r>
    </w:p>
    <w:p>
      <w:pPr>
        <w:spacing w:line="360" w:lineRule="auto"/>
        <w:jc w:val="both"/>
        <w:rPr>
          <w:rFonts w:ascii="Arial" w:hAnsi="Arial"/>
          <w:noProof w:val="0"/>
          <w:rtl/>
        </w:rPr>
      </w:pP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p>
    <w:p>
      <w:pPr>
        <w:spacing w:line="360" w:lineRule="auto"/>
        <w:ind w:left="3600" w:firstLine="720"/>
        <w:jc w:val="center"/>
      </w:pPr>
      <w:sdt>
        <w:sdtPr>
          <w:rPr>
            <w:rtl/>
          </w:rPr>
          <w:alias w:val="MergeField"/>
          <w:tag w:val="1237"/>
          <w:id w:val="-254132084"/>
        </w:sdtPr>
        <w:sdtContent>
          <w:r>
            <w:drawing>
              <wp:inline distT="0" distB="0" distL="0" distR="0">
                <wp:extent cx="15906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9" cstate="print">
                          <a:extLst/>
                        </a:blip>
                        <a:stretch>
                          <a:fillRect/>
                        </a:stretch>
                      </pic:blipFill>
                      <pic:spPr>
                        <a:xfrm>
                          <a:off x="0" y="0"/>
                          <a:ext cx="1590675" cy="790575"/>
                        </a:xfrm>
                        <a:prstGeom prst="rect">
                          <a:avLst/>
                        </a:prstGeom>
                      </pic:spPr>
                    </pic:pic>
                  </a:graphicData>
                </a:graphic>
              </wp:inline>
            </w:drawing>
          </w:r>
        </w:sdtContent>
      </w:sdt>
    </w:p>
    <w:p>
      <w:pPr>
        <w:spacing w:line="360" w:lineRule="auto"/>
        <w:ind w:left="3600" w:firstLine="720"/>
        <w:jc w:val="center"/>
        <w:rPr>
          <w:rFonts w:ascii="Arial" w:hAnsi="Arial"/>
          <w:noProof w:val="0"/>
          <w:rtl/>
        </w:rPr>
      </w:pPr>
    </w:p>
    <w:p>
      <w:pPr>
        <w:spacing w:line="360" w:lineRule="auto"/>
        <w:jc w:val="both"/>
        <w:rPr>
          <w:rFonts w:ascii="Arial" w:hAnsi="Arial"/>
          <w:noProof w:val="0"/>
          <w:rtl/>
        </w:rPr>
      </w:pPr>
    </w:p>
    <w:p>
      <w:pPr>
        <w:spacing w:line="360" w:lineRule="auto"/>
        <w:jc w:val="both"/>
        <w:rPr>
          <w:rFonts w:ascii="Arial" w:hAnsi="Arial"/>
          <w:noProof w:val="0"/>
          <w:rtl/>
        </w:rPr>
      </w:pPr>
    </w:p>
    <w:sectPr>
      <w:headerReference w:type="default" r:id="rId10"/>
      <w:footerReference w:type="default" r:id="rId11"/>
      <w:pgSz w:w="11907" w:h="16840" w:code="9"/>
      <w:pgMar w:top="279"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center"/>
      <w:rPr>
        <w:rStyle w:val="ac"/>
      </w:rPr>
    </w:pPr>
    <w:r>
      <w:rPr>
        <w:rStyle w:val="ac"/>
        <w:rFonts w:cs="Times New Roman"/>
      </w:rPr>
      <w:fldChar w:fldCharType="begin"/>
    </w:r>
    <w:r>
      <w:rPr>
        <w:rStyle w:val="ac"/>
        <w:rFonts w:cs="Times New Roman"/>
      </w:rPr>
      <w:instrText xml:space="preserve"> PAGE </w:instrText>
    </w:r>
    <w:r>
      <w:rPr>
        <w:rStyle w:val="ac"/>
        <w:rFonts w:cs="Times New Roman"/>
      </w:rPr>
      <w:fldChar w:fldCharType="separate"/>
    </w:r>
    <w:r>
      <w:rPr>
        <w:rStyle w:val="ac"/>
        <w:rFonts w:cs="Times New Roman"/>
        <w:rtl/>
      </w:rPr>
      <w:t>10</w:t>
    </w:r>
    <w:r>
      <w:rPr>
        <w:rStyle w:val="ac"/>
        <w:rFonts w:cs="Times New Roman"/>
      </w:rPr>
      <w:fldChar w:fldCharType="end"/>
    </w:r>
    <w:r>
      <w:rPr>
        <w:rStyle w:val="ac"/>
        <w:rFonts w:hint="cs"/>
        <w:rtl/>
      </w:rPr>
      <w:t xml:space="preserve"> מתוך </w:t>
    </w:r>
    <w:r>
      <w:rPr>
        <w:rStyle w:val="ac"/>
      </w:rPr>
      <w:fldChar w:fldCharType="begin"/>
    </w:r>
    <w:r>
      <w:rPr>
        <w:rStyle w:val="ac"/>
      </w:rPr>
      <w:instrText xml:space="preserve"> NUMPAGES </w:instrText>
    </w:r>
    <w:r>
      <w:rPr>
        <w:rStyle w:val="ac"/>
      </w:rPr>
      <w:fldChar w:fldCharType="separate"/>
    </w:r>
    <w:r>
      <w:rPr>
        <w:rStyle w:val="ac"/>
        <w:rtl/>
      </w:rPr>
      <w:t>10</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rPr>
        <w:rFonts w:cs="FrankRuehl"/>
        <w:noProof w:val="0"/>
        <w:sz w:val="28"/>
        <w:szCs w:val="28"/>
        <w:rtl/>
      </w:rPr>
    </w:pPr>
    <w:r>
      <w:rPr>
        <w:rFonts w:cs="FrankRuehl"/>
        <w:sz w:val="28"/>
        <w:szCs w:val="28"/>
      </w:rPr>
      <w:drawing>
        <wp:inline distT="0" distB="0" distL="0" distR="0">
          <wp:extent cx="371475" cy="466725"/>
          <wp:effectExtent l="0" t="0" r="9525" b="9525"/>
          <wp:docPr id="6"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8505"/>
    </w:tblGrid>
    <w:tr>
      <w:trPr>
        <w:trHeight w:hRule="exact" w:val="567"/>
        <w:jc w:val="center"/>
      </w:trPr>
      <w:tc>
        <w:tcPr>
          <w:tcW w:w="8505" w:type="dxa"/>
        </w:tcPr>
        <w:p>
          <w:pPr>
            <w:pStyle w:val="a3"/>
            <w:jc w:val="center"/>
            <w:rPr>
              <w:rFonts w:ascii="Tahoma" w:hAnsi="Tahoma" w:cs="Tahoma"/>
              <w:noProof w:val="0"/>
              <w:color w:val="000080"/>
              <w:rtl/>
            </w:rPr>
          </w:pPr>
          <w:sdt>
            <w:sdtPr>
              <w:rPr>
                <w:rtl/>
              </w:rPr>
              <w:alias w:val="1174"/>
              <w:tag w:val="1174"/>
              <w:id w:val="456998849"/>
              <w:text/>
            </w:sdtPr>
            <w:sdtContent>
              <w:r>
                <w:rPr>
                  <w:rFonts w:ascii="Tahoma" w:hAnsi="Tahoma" w:cs="Tahoma"/>
                  <w:b/>
                  <w:bCs/>
                  <w:noProof w:val="0"/>
                  <w:color w:val="000080"/>
                  <w:rtl/>
                </w:rPr>
                <w:t>בית המשפט המחוזי מרכז-לוד</w:t>
              </w:r>
            </w:sdtContent>
          </w:sdt>
        </w:p>
        <w:p>
          <w:pPr>
            <w:tabs>
              <w:tab w:val="left" w:pos="1981"/>
            </w:tabs>
            <w:rPr>
              <w:rtl/>
            </w:rPr>
          </w:pPr>
          <w:r>
            <w:rPr>
              <w:rtl/>
            </w:rPr>
            <w:tab/>
          </w:r>
        </w:p>
      </w:tc>
    </w:tr>
    <w:tr>
      <w:trPr>
        <w:trHeight w:val="337"/>
        <w:jc w:val="center"/>
      </w:trPr>
      <w:tc>
        <w:tcPr>
          <w:tcW w:w="8505" w:type="dxa"/>
        </w:tcPr>
        <w:p>
          <w:pPr>
            <w:rPr>
              <w:b/>
              <w:bCs/>
              <w:noProof w:val="0"/>
              <w:sz w:val="26"/>
              <w:szCs w:val="26"/>
              <w:rtl/>
            </w:rPr>
          </w:pPr>
          <w:sdt>
            <w:sdtPr>
              <w:rPr>
                <w:b/>
                <w:bCs/>
                <w:noProof w:val="0"/>
                <w:sz w:val="26"/>
                <w:szCs w:val="26"/>
                <w:rtl/>
              </w:rPr>
              <w:alias w:val="1170"/>
              <w:tag w:val="1170"/>
              <w:id w:val="492993641"/>
              <w:text w:multiLine="1"/>
            </w:sdtPr>
            <w:sdtContent>
              <w:r>
                <w:rPr>
                  <w:b/>
                  <w:bCs/>
                  <w:noProof w:val="0"/>
                  <w:sz w:val="26"/>
                  <w:szCs w:val="26"/>
                  <w:rtl/>
                </w:rPr>
                <w:t>ת"צ</w:t>
              </w:r>
            </w:sdtContent>
          </w:sdt>
          <w:r>
            <w:rPr>
              <w:b/>
              <w:bCs/>
              <w:noProof w:val="0"/>
              <w:sz w:val="26"/>
              <w:szCs w:val="26"/>
              <w:rtl/>
            </w:rPr>
            <w:t xml:space="preserve"> </w:t>
          </w:r>
          <w:sdt>
            <w:sdtPr>
              <w:rPr>
                <w:b/>
                <w:bCs/>
                <w:noProof w:val="0"/>
                <w:sz w:val="26"/>
                <w:szCs w:val="26"/>
                <w:rtl/>
              </w:rPr>
              <w:alias w:val="1171"/>
              <w:tag w:val="1171"/>
              <w:id w:val="373436457"/>
              <w:text w:multiLine="1"/>
            </w:sdtPr>
            <w:sdtContent>
              <w:r>
                <w:rPr>
                  <w:b/>
                  <w:bCs/>
                  <w:noProof w:val="0"/>
                  <w:sz w:val="26"/>
                  <w:szCs w:val="26"/>
                  <w:rtl/>
                </w:rPr>
                <w:t>25595-08-14</w:t>
              </w:r>
            </w:sdtContent>
          </w:sdt>
          <w:r>
            <w:rPr>
              <w:b/>
              <w:bCs/>
              <w:noProof w:val="0"/>
              <w:sz w:val="26"/>
              <w:szCs w:val="26"/>
              <w:rtl/>
            </w:rPr>
            <w:t xml:space="preserve"> </w:t>
          </w:r>
          <w:sdt>
            <w:sdtPr>
              <w:rPr>
                <w:b/>
                <w:bCs/>
                <w:noProof w:val="0"/>
                <w:sz w:val="26"/>
                <w:szCs w:val="26"/>
                <w:rtl/>
              </w:rPr>
              <w:alias w:val="1172"/>
              <w:tag w:val="1172"/>
              <w:id w:val="-439449246"/>
              <w:text w:multiLine="1"/>
            </w:sdtPr>
            <w:sdtContent>
              <w:r>
                <w:rPr>
                  <w:b/>
                  <w:bCs/>
                  <w:noProof w:val="0"/>
                  <w:sz w:val="26"/>
                  <w:szCs w:val="26"/>
                  <w:rtl/>
                </w:rPr>
                <w:t>פרי נ' ניו לינאו סינמה (2006) בע"מ ואח'</w:t>
              </w:r>
            </w:sdtContent>
          </w:sdt>
        </w:p>
        <w:p>
          <w:pPr>
            <w:rPr>
              <w:b/>
              <w:bCs/>
              <w:noProof w:val="0"/>
              <w:sz w:val="2"/>
              <w:szCs w:val="2"/>
              <w:rtl/>
            </w:rPr>
          </w:pPr>
        </w:p>
        <w:p>
          <w:pPr>
            <w:rPr>
              <w:b/>
              <w:bCs/>
              <w:noProof w:val="0"/>
              <w:sz w:val="26"/>
              <w:szCs w:val="26"/>
              <w:rtl/>
            </w:rPr>
          </w:pPr>
          <w:sdt>
            <w:sdtPr>
              <w:rPr>
                <w:b/>
                <w:bCs/>
                <w:noProof w:val="0"/>
                <w:sz w:val="26"/>
                <w:szCs w:val="26"/>
                <w:rtl/>
              </w:rPr>
              <w:alias w:val="1170"/>
              <w:tag w:val="1170"/>
              <w:id w:val="-507361452"/>
              <w:text w:multiLine="1"/>
            </w:sdtPr>
            <w:sdtContent>
              <w:r>
                <w:rPr>
                  <w:b/>
                  <w:bCs/>
                  <w:noProof w:val="0"/>
                  <w:sz w:val="26"/>
                  <w:szCs w:val="26"/>
                  <w:rtl/>
                </w:rPr>
                <w:t>ת"צ</w:t>
              </w:r>
            </w:sdtContent>
          </w:sdt>
          <w:r>
            <w:rPr>
              <w:b/>
              <w:bCs/>
              <w:noProof w:val="0"/>
              <w:sz w:val="26"/>
              <w:szCs w:val="26"/>
              <w:rtl/>
            </w:rPr>
            <w:t xml:space="preserve"> </w:t>
          </w:r>
          <w:sdt>
            <w:sdtPr>
              <w:rPr>
                <w:b/>
                <w:bCs/>
                <w:noProof w:val="0"/>
                <w:sz w:val="26"/>
                <w:szCs w:val="26"/>
                <w:rtl/>
              </w:rPr>
              <w:alias w:val="1171"/>
              <w:tag w:val="1171"/>
              <w:id w:val="-1050138643"/>
              <w:text w:multiLine="1"/>
            </w:sdtPr>
            <w:sdtContent>
              <w:r>
                <w:rPr>
                  <w:b/>
                  <w:bCs/>
                  <w:noProof w:val="0"/>
                  <w:sz w:val="26"/>
                  <w:szCs w:val="26"/>
                  <w:rtl/>
                </w:rPr>
                <w:t>4850-09-14</w:t>
              </w:r>
            </w:sdtContent>
          </w:sdt>
          <w:r>
            <w:rPr>
              <w:b/>
              <w:bCs/>
              <w:noProof w:val="0"/>
              <w:sz w:val="26"/>
              <w:szCs w:val="26"/>
              <w:rtl/>
            </w:rPr>
            <w:t xml:space="preserve"> </w:t>
          </w:r>
          <w:sdt>
            <w:sdtPr>
              <w:rPr>
                <w:b/>
                <w:bCs/>
                <w:noProof w:val="0"/>
                <w:sz w:val="26"/>
                <w:szCs w:val="26"/>
                <w:rtl/>
              </w:rPr>
              <w:alias w:val="1172"/>
              <w:tag w:val="1172"/>
              <w:id w:val="-4676778"/>
              <w:text w:multiLine="1"/>
            </w:sdtPr>
            <w:sdtContent>
              <w:r>
                <w:rPr>
                  <w:b/>
                  <w:bCs/>
                  <w:noProof w:val="0"/>
                  <w:sz w:val="26"/>
                  <w:szCs w:val="26"/>
                  <w:rtl/>
                </w:rPr>
                <w:t>כהן ואח' נ' התיאטרון הלאומי הבימה בע"מ(חל"צ) ואח'</w:t>
              </w:r>
            </w:sdtContent>
          </w:sdt>
        </w:p>
        <w:p>
          <w:pPr>
            <w:rPr>
              <w:b/>
              <w:bCs/>
              <w:noProof w:val="0"/>
              <w:sz w:val="2"/>
              <w:szCs w:val="2"/>
              <w:rtl/>
            </w:rPr>
          </w:pPr>
        </w:p>
        <w:p>
          <w:pPr>
            <w:rPr>
              <w:b/>
              <w:bCs/>
              <w:noProof w:val="0"/>
              <w:sz w:val="26"/>
              <w:szCs w:val="26"/>
              <w:rtl/>
            </w:rPr>
          </w:pPr>
        </w:p>
      </w:tc>
    </w:tr>
  </w:tbl>
  <w:p>
    <w:pPr>
      <w:pStyle w:val="a3"/>
      <w:rPr>
        <w:noProof w:val="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254"/>
    <w:multiLevelType w:val="hybridMultilevel"/>
    <w:tmpl w:val="B1245A9E"/>
    <w:lvl w:ilvl="0" w:tplc="CB68D930">
      <w:start w:val="1"/>
      <w:numFmt w:val="hebrew1"/>
      <w:lvlText w:val="%1."/>
      <w:lvlJc w:val="left"/>
      <w:pPr>
        <w:ind w:left="2003" w:hanging="360"/>
      </w:pPr>
      <w:rPr>
        <w:rFonts w:cs="David" w:hint="default"/>
        <w:sz w:val="24"/>
        <w:szCs w:val="24"/>
      </w:rPr>
    </w:lvl>
    <w:lvl w:ilvl="1" w:tplc="04090019" w:tentative="1">
      <w:start w:val="1"/>
      <w:numFmt w:val="lowerLetter"/>
      <w:lvlText w:val="%2."/>
      <w:lvlJc w:val="left"/>
      <w:pPr>
        <w:ind w:left="2723" w:hanging="360"/>
      </w:pPr>
      <w:rPr>
        <w:rFonts w:cs="Times New Roman"/>
      </w:rPr>
    </w:lvl>
    <w:lvl w:ilvl="2" w:tplc="0409001B" w:tentative="1">
      <w:start w:val="1"/>
      <w:numFmt w:val="lowerRoman"/>
      <w:lvlText w:val="%3."/>
      <w:lvlJc w:val="right"/>
      <w:pPr>
        <w:ind w:left="3443" w:hanging="180"/>
      </w:pPr>
      <w:rPr>
        <w:rFonts w:cs="Times New Roman"/>
      </w:rPr>
    </w:lvl>
    <w:lvl w:ilvl="3" w:tplc="0409000F">
      <w:start w:val="1"/>
      <w:numFmt w:val="decimal"/>
      <w:lvlText w:val="%4."/>
      <w:lvlJc w:val="left"/>
      <w:pPr>
        <w:ind w:left="4163" w:hanging="360"/>
      </w:pPr>
      <w:rPr>
        <w:rFonts w:cs="Times New Roman"/>
      </w:rPr>
    </w:lvl>
    <w:lvl w:ilvl="4" w:tplc="04090019" w:tentative="1">
      <w:start w:val="1"/>
      <w:numFmt w:val="lowerLetter"/>
      <w:lvlText w:val="%5."/>
      <w:lvlJc w:val="left"/>
      <w:pPr>
        <w:ind w:left="4883" w:hanging="360"/>
      </w:pPr>
      <w:rPr>
        <w:rFonts w:cs="Times New Roman"/>
      </w:rPr>
    </w:lvl>
    <w:lvl w:ilvl="5" w:tplc="0409001B" w:tentative="1">
      <w:start w:val="1"/>
      <w:numFmt w:val="lowerRoman"/>
      <w:lvlText w:val="%6."/>
      <w:lvlJc w:val="right"/>
      <w:pPr>
        <w:ind w:left="5603" w:hanging="180"/>
      </w:pPr>
      <w:rPr>
        <w:rFonts w:cs="Times New Roman"/>
      </w:rPr>
    </w:lvl>
    <w:lvl w:ilvl="6" w:tplc="0409000F" w:tentative="1">
      <w:start w:val="1"/>
      <w:numFmt w:val="decimal"/>
      <w:lvlText w:val="%7."/>
      <w:lvlJc w:val="left"/>
      <w:pPr>
        <w:ind w:left="6323" w:hanging="360"/>
      </w:pPr>
      <w:rPr>
        <w:rFonts w:cs="Times New Roman"/>
      </w:rPr>
    </w:lvl>
    <w:lvl w:ilvl="7" w:tplc="04090019" w:tentative="1">
      <w:start w:val="1"/>
      <w:numFmt w:val="lowerLetter"/>
      <w:lvlText w:val="%8."/>
      <w:lvlJc w:val="left"/>
      <w:pPr>
        <w:ind w:left="7043" w:hanging="360"/>
      </w:pPr>
      <w:rPr>
        <w:rFonts w:cs="Times New Roman"/>
      </w:rPr>
    </w:lvl>
    <w:lvl w:ilvl="8" w:tplc="0409001B" w:tentative="1">
      <w:start w:val="1"/>
      <w:numFmt w:val="lowerRoman"/>
      <w:lvlText w:val="%9."/>
      <w:lvlJc w:val="right"/>
      <w:pPr>
        <w:ind w:left="7763" w:hanging="180"/>
      </w:pPr>
      <w:rPr>
        <w:rFonts w:cs="Times New Roman"/>
      </w:rPr>
    </w:lvl>
  </w:abstractNum>
  <w:abstractNum w:abstractNumId="1" w15:restartNumberingAfterBreak="0">
    <w:nsid w:val="1E252382"/>
    <w:multiLevelType w:val="hybridMultilevel"/>
    <w:tmpl w:val="D206C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7160A8"/>
    <w:multiLevelType w:val="hybridMultilevel"/>
    <w:tmpl w:val="6150C68C"/>
    <w:lvl w:ilvl="0" w:tplc="4BF43F80">
      <w:start w:val="1"/>
      <w:numFmt w:val="hebrew1"/>
      <w:lvlText w:val="%1."/>
      <w:lvlJc w:val="left"/>
      <w:pPr>
        <w:ind w:left="726" w:hanging="360"/>
      </w:pPr>
      <w:rPr>
        <w:rFonts w:cs="Times New Roman" w:hint="default"/>
      </w:rPr>
    </w:lvl>
    <w:lvl w:ilvl="1" w:tplc="04090019" w:tentative="1">
      <w:start w:val="1"/>
      <w:numFmt w:val="lowerLetter"/>
      <w:lvlText w:val="%2."/>
      <w:lvlJc w:val="left"/>
      <w:pPr>
        <w:ind w:left="1446" w:hanging="360"/>
      </w:pPr>
      <w:rPr>
        <w:rFonts w:cs="Times New Roman"/>
      </w:rPr>
    </w:lvl>
    <w:lvl w:ilvl="2" w:tplc="0409001B" w:tentative="1">
      <w:start w:val="1"/>
      <w:numFmt w:val="lowerRoman"/>
      <w:lvlText w:val="%3."/>
      <w:lvlJc w:val="right"/>
      <w:pPr>
        <w:ind w:left="2166" w:hanging="180"/>
      </w:pPr>
      <w:rPr>
        <w:rFonts w:cs="Times New Roman"/>
      </w:rPr>
    </w:lvl>
    <w:lvl w:ilvl="3" w:tplc="0409000F" w:tentative="1">
      <w:start w:val="1"/>
      <w:numFmt w:val="decimal"/>
      <w:lvlText w:val="%4."/>
      <w:lvlJc w:val="left"/>
      <w:pPr>
        <w:ind w:left="2886" w:hanging="360"/>
      </w:pPr>
      <w:rPr>
        <w:rFonts w:cs="Times New Roman"/>
      </w:rPr>
    </w:lvl>
    <w:lvl w:ilvl="4" w:tplc="04090019" w:tentative="1">
      <w:start w:val="1"/>
      <w:numFmt w:val="lowerLetter"/>
      <w:lvlText w:val="%5."/>
      <w:lvlJc w:val="left"/>
      <w:pPr>
        <w:ind w:left="3606" w:hanging="360"/>
      </w:pPr>
      <w:rPr>
        <w:rFonts w:cs="Times New Roman"/>
      </w:rPr>
    </w:lvl>
    <w:lvl w:ilvl="5" w:tplc="0409001B" w:tentative="1">
      <w:start w:val="1"/>
      <w:numFmt w:val="lowerRoman"/>
      <w:lvlText w:val="%6."/>
      <w:lvlJc w:val="right"/>
      <w:pPr>
        <w:ind w:left="4326" w:hanging="180"/>
      </w:pPr>
      <w:rPr>
        <w:rFonts w:cs="Times New Roman"/>
      </w:rPr>
    </w:lvl>
    <w:lvl w:ilvl="6" w:tplc="0409000F" w:tentative="1">
      <w:start w:val="1"/>
      <w:numFmt w:val="decimal"/>
      <w:lvlText w:val="%7."/>
      <w:lvlJc w:val="left"/>
      <w:pPr>
        <w:ind w:left="5046" w:hanging="360"/>
      </w:pPr>
      <w:rPr>
        <w:rFonts w:cs="Times New Roman"/>
      </w:rPr>
    </w:lvl>
    <w:lvl w:ilvl="7" w:tplc="04090019" w:tentative="1">
      <w:start w:val="1"/>
      <w:numFmt w:val="lowerLetter"/>
      <w:lvlText w:val="%8."/>
      <w:lvlJc w:val="left"/>
      <w:pPr>
        <w:ind w:left="5766" w:hanging="360"/>
      </w:pPr>
      <w:rPr>
        <w:rFonts w:cs="Times New Roman"/>
      </w:rPr>
    </w:lvl>
    <w:lvl w:ilvl="8" w:tplc="0409001B" w:tentative="1">
      <w:start w:val="1"/>
      <w:numFmt w:val="lowerRoman"/>
      <w:lvlText w:val="%9."/>
      <w:lvlJc w:val="right"/>
      <w:pPr>
        <w:ind w:left="6486" w:hanging="180"/>
      </w:pPr>
      <w:rPr>
        <w:rFonts w:cs="Times New Roman"/>
      </w:rPr>
    </w:lvl>
  </w:abstractNum>
  <w:abstractNum w:abstractNumId="3" w15:restartNumberingAfterBreak="0">
    <w:nsid w:val="64585167"/>
    <w:multiLevelType w:val="hybridMultilevel"/>
    <w:tmpl w:val="79FAEEBC"/>
    <w:lvl w:ilvl="0" w:tplc="30627434">
      <w:start w:val="1"/>
      <w:numFmt w:val="hebrew1"/>
      <w:lvlText w:val="%1."/>
      <w:lvlJc w:val="left"/>
      <w:pPr>
        <w:ind w:left="723" w:hanging="360"/>
      </w:pPr>
      <w:rPr>
        <w:rFonts w:cs="David"/>
        <w:b w:val="0"/>
        <w:bCs w:val="0"/>
      </w:rPr>
    </w:lvl>
    <w:lvl w:ilvl="1" w:tplc="A06AB15A">
      <w:start w:val="1"/>
      <w:numFmt w:val="decimal"/>
      <w:lvlText w:val="%2)"/>
      <w:lvlJc w:val="left"/>
      <w:pPr>
        <w:ind w:left="1443" w:hanging="360"/>
      </w:pPr>
      <w:rPr>
        <w:rFonts w:cs="Times New Roman"/>
        <w:b w:val="0"/>
        <w:bCs w:val="0"/>
      </w:rPr>
    </w:lvl>
    <w:lvl w:ilvl="2" w:tplc="0409001B">
      <w:start w:val="1"/>
      <w:numFmt w:val="lowerRoman"/>
      <w:lvlText w:val="%3."/>
      <w:lvlJc w:val="right"/>
      <w:pPr>
        <w:ind w:left="2163" w:hanging="180"/>
      </w:pPr>
      <w:rPr>
        <w:rFonts w:cs="Times New Roman"/>
      </w:rPr>
    </w:lvl>
    <w:lvl w:ilvl="3" w:tplc="0409000F">
      <w:start w:val="1"/>
      <w:numFmt w:val="decimal"/>
      <w:lvlText w:val="%4."/>
      <w:lvlJc w:val="left"/>
      <w:pPr>
        <w:ind w:left="2883" w:hanging="360"/>
      </w:pPr>
      <w:rPr>
        <w:rFonts w:cs="Times New Roman"/>
      </w:rPr>
    </w:lvl>
    <w:lvl w:ilvl="4" w:tplc="04090019">
      <w:start w:val="1"/>
      <w:numFmt w:val="lowerLetter"/>
      <w:lvlText w:val="%5."/>
      <w:lvlJc w:val="left"/>
      <w:pPr>
        <w:ind w:left="3603" w:hanging="360"/>
      </w:pPr>
      <w:rPr>
        <w:rFonts w:cs="Times New Roman"/>
      </w:rPr>
    </w:lvl>
    <w:lvl w:ilvl="5" w:tplc="0409001B">
      <w:start w:val="1"/>
      <w:numFmt w:val="lowerRoman"/>
      <w:lvlText w:val="%6."/>
      <w:lvlJc w:val="right"/>
      <w:pPr>
        <w:ind w:left="4323" w:hanging="180"/>
      </w:pPr>
      <w:rPr>
        <w:rFonts w:cs="Times New Roman"/>
      </w:rPr>
    </w:lvl>
    <w:lvl w:ilvl="6" w:tplc="0409000F">
      <w:start w:val="1"/>
      <w:numFmt w:val="decimal"/>
      <w:lvlText w:val="%7."/>
      <w:lvlJc w:val="left"/>
      <w:pPr>
        <w:ind w:left="5043" w:hanging="360"/>
      </w:pPr>
      <w:rPr>
        <w:rFonts w:cs="Times New Roman"/>
      </w:rPr>
    </w:lvl>
    <w:lvl w:ilvl="7" w:tplc="04090019">
      <w:start w:val="1"/>
      <w:numFmt w:val="lowerLetter"/>
      <w:lvlText w:val="%8."/>
      <w:lvlJc w:val="left"/>
      <w:pPr>
        <w:ind w:left="5763" w:hanging="360"/>
      </w:pPr>
      <w:rPr>
        <w:rFonts w:cs="Times New Roman"/>
      </w:rPr>
    </w:lvl>
    <w:lvl w:ilvl="8" w:tplc="0409001B">
      <w:start w:val="1"/>
      <w:numFmt w:val="lowerRoman"/>
      <w:lvlText w:val="%9."/>
      <w:lvlJc w:val="right"/>
      <w:pPr>
        <w:ind w:left="6483" w:hanging="180"/>
      </w:pPr>
      <w:rPr>
        <w:rFonts w:cs="Times New Roman"/>
      </w:rPr>
    </w:lvl>
  </w:abstractNum>
  <w:abstractNum w:abstractNumId="4" w15:restartNumberingAfterBreak="0">
    <w:nsid w:val="6B1F553A"/>
    <w:multiLevelType w:val="hybridMultilevel"/>
    <w:tmpl w:val="5BF4090E"/>
    <w:lvl w:ilvl="0" w:tplc="9BE04E4C">
      <w:start w:val="1"/>
      <w:numFmt w:val="decimal"/>
      <w:lvlText w:val="%1."/>
      <w:lvlJc w:val="left"/>
      <w:pPr>
        <w:tabs>
          <w:tab w:val="num" w:pos="366"/>
        </w:tabs>
        <w:ind w:left="366" w:hanging="360"/>
      </w:pPr>
      <w:rPr>
        <w:rFonts w:cs="David"/>
        <w:b w:val="0"/>
        <w:bCs w:val="0"/>
      </w:rPr>
    </w:lvl>
    <w:lvl w:ilvl="1" w:tplc="04090019">
      <w:start w:val="1"/>
      <w:numFmt w:val="lowerLetter"/>
      <w:lvlText w:val="%2."/>
      <w:lvlJc w:val="left"/>
      <w:pPr>
        <w:tabs>
          <w:tab w:val="num" w:pos="38"/>
        </w:tabs>
        <w:ind w:left="38" w:hanging="360"/>
      </w:pPr>
      <w:rPr>
        <w:rFonts w:cs="Times New Roman"/>
      </w:rPr>
    </w:lvl>
    <w:lvl w:ilvl="2" w:tplc="0409001B">
      <w:start w:val="1"/>
      <w:numFmt w:val="lowerRoman"/>
      <w:lvlText w:val="%3."/>
      <w:lvlJc w:val="right"/>
      <w:pPr>
        <w:tabs>
          <w:tab w:val="num" w:pos="758"/>
        </w:tabs>
        <w:ind w:left="758" w:hanging="180"/>
      </w:pPr>
      <w:rPr>
        <w:rFonts w:cs="Times New Roman"/>
      </w:rPr>
    </w:lvl>
    <w:lvl w:ilvl="3" w:tplc="0409000F">
      <w:start w:val="1"/>
      <w:numFmt w:val="decimal"/>
      <w:lvlText w:val="%4."/>
      <w:lvlJc w:val="left"/>
      <w:pPr>
        <w:tabs>
          <w:tab w:val="num" w:pos="1478"/>
        </w:tabs>
        <w:ind w:left="1478" w:hanging="360"/>
      </w:pPr>
      <w:rPr>
        <w:rFonts w:cs="Times New Roman"/>
      </w:rPr>
    </w:lvl>
    <w:lvl w:ilvl="4" w:tplc="04090019">
      <w:start w:val="1"/>
      <w:numFmt w:val="lowerLetter"/>
      <w:lvlText w:val="%5."/>
      <w:lvlJc w:val="left"/>
      <w:pPr>
        <w:tabs>
          <w:tab w:val="num" w:pos="2198"/>
        </w:tabs>
        <w:ind w:left="2198" w:hanging="360"/>
      </w:pPr>
      <w:rPr>
        <w:rFonts w:cs="Times New Roman"/>
      </w:rPr>
    </w:lvl>
    <w:lvl w:ilvl="5" w:tplc="0409001B">
      <w:start w:val="1"/>
      <w:numFmt w:val="lowerRoman"/>
      <w:lvlText w:val="%6."/>
      <w:lvlJc w:val="right"/>
      <w:pPr>
        <w:tabs>
          <w:tab w:val="num" w:pos="2918"/>
        </w:tabs>
        <w:ind w:left="2918" w:hanging="180"/>
      </w:pPr>
      <w:rPr>
        <w:rFonts w:cs="Times New Roman"/>
      </w:rPr>
    </w:lvl>
    <w:lvl w:ilvl="6" w:tplc="0409000F">
      <w:start w:val="1"/>
      <w:numFmt w:val="decimal"/>
      <w:lvlText w:val="%7."/>
      <w:lvlJc w:val="left"/>
      <w:pPr>
        <w:tabs>
          <w:tab w:val="num" w:pos="3638"/>
        </w:tabs>
        <w:ind w:left="3638" w:hanging="360"/>
      </w:pPr>
      <w:rPr>
        <w:rFonts w:cs="Times New Roman"/>
      </w:rPr>
    </w:lvl>
    <w:lvl w:ilvl="7" w:tplc="04090019">
      <w:start w:val="1"/>
      <w:numFmt w:val="lowerLetter"/>
      <w:lvlText w:val="%8."/>
      <w:lvlJc w:val="left"/>
      <w:pPr>
        <w:tabs>
          <w:tab w:val="num" w:pos="4358"/>
        </w:tabs>
        <w:ind w:left="4358" w:hanging="360"/>
      </w:pPr>
      <w:rPr>
        <w:rFonts w:cs="Times New Roman"/>
      </w:rPr>
    </w:lvl>
    <w:lvl w:ilvl="8" w:tplc="0409001B">
      <w:start w:val="1"/>
      <w:numFmt w:val="lowerRoman"/>
      <w:lvlText w:val="%9."/>
      <w:lvlJc w:val="right"/>
      <w:pPr>
        <w:tabs>
          <w:tab w:val="num" w:pos="5078"/>
        </w:tabs>
        <w:ind w:left="507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ID" w:val="72095259"/>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2095259&amp;lt;/CaseID&amp;gt;_x000d__x000a_        &amp;lt;CaseMonth&amp;gt;8&amp;lt;/CaseMonth&amp;gt;_x000d__x000a_        &amp;lt;CaseYear&amp;gt;2014&amp;lt;/CaseYear&amp;gt;_x000d__x000a_        &amp;lt;CaseNumber&amp;gt;25595&amp;lt;/CaseNumber&amp;gt;_x000d__x000a_        &amp;lt;NumeratorGroupID&amp;gt;1&amp;lt;/NumeratorGroupID&amp;gt;_x000d__x000a_        &amp;lt;CaseName&amp;gt;פרי נ&amp;#39; ניו לינאו סינמה (2006) בע&amp;quot;מ ואח&amp;#39;&amp;lt;/CaseName&amp;gt;_x000d__x000a_        &amp;lt;CourtID&amp;gt;896&amp;lt;/CourtID&amp;gt;_x000d__x000a_        &amp;lt;CaseTypeID&amp;gt;10036&amp;lt;/CaseTypeID&amp;gt;_x000d__x000a_        &amp;lt;CaseInterestID&amp;gt;106&amp;lt;/CaseInterestID&amp;gt;_x000d__x000a_        &amp;lt;CaseJudgeName&amp;gt;פרופ&amp;#39; עופר גרוסקופף&amp;lt;/CaseJudgeName&amp;gt;_x000d__x000a_        &amp;lt;CaseLinkTypeID&amp;gt;1&amp;lt;/CaseLinkTypeID&amp;gt;_x000d__x000a_        &amp;lt;ProcedureID&amp;gt;1&amp;lt;/ProcedureID&amp;gt;_x000d__x000a_        &amp;lt;CaseStatusID&amp;gt;1&amp;lt;/CaseStatusID&amp;gt;_x000d__x000a_        &amp;lt;ProceedingID&amp;gt;1&amp;lt;/ProceedingID&amp;gt;_x000d__x000a_        &amp;lt;IsCaseLinked&amp;gt;true&amp;lt;/IsCaseLinked&amp;gt;_x000d__x000a_        &amp;lt;PrivilegeID&amp;gt;1&amp;lt;/PrivilegeID&amp;gt;_x000d__x000a_        &amp;lt;IsAppealingCaseExist&amp;gt;false&amp;lt;/IsAppealingCaseExist&amp;gt;_x000d__x000a_        &amp;lt;CaseDisplayIdentifier&amp;gt;25595-08-14&amp;lt;/CaseDisplayIdentifier&amp;gt;_x000d__x000a_        &amp;lt;CaseTypeDesc&amp;gt;ת&amp;quot;צ&amp;lt;/CaseTypeDesc&amp;gt;_x000d__x000a_        &amp;lt;CourtDesc&amp;gt;המחוזי מרכז &amp;lt;/CourtDesc&amp;gt;_x000d__x000a_        &amp;lt;CaseStageDesc&amp;gt;תיק אלקטרוני&amp;lt;/CaseStageDesc&amp;gt;_x000d__x000a_        &amp;lt;CaseNextDeterminingTask&amp;gt;151&amp;lt;/CaseNextDeterminingTask&amp;gt;_x000d__x000a_        &amp;lt;CaseOpenDate&amp;gt;2014-08-18T09:17:00+03:00&amp;lt;/CaseOpenDate&amp;gt;_x000d__x000a_        &amp;lt;PleaTypeID&amp;gt;4&amp;lt;/PleaTypeID&amp;gt;_x000d__x000a_        &amp;lt;CourtLevelID&amp;gt;2&amp;lt;/CourtLevelID&amp;gt;_x000d__x000a_        &amp;lt;CourtLevelCaseTypeInterestID&amp;gt;73&amp;lt;/CourtLevelCaseTypeInterestID&amp;gt;_x000d__x000a_        &amp;lt;CaseJudgeFirstName&amp;gt;עופר&amp;lt;/CaseJudgeFirstName&amp;gt;_x000d__x000a_        &amp;lt;CaseJudgeLastName&amp;gt;גרוסקופף&amp;lt;/CaseJudgeLastName&amp;gt;_x000d__x000a_        &amp;lt;JudicalPersonID&amp;gt;024602203@GOV.IL&amp;lt;/JudicalPersonID&amp;gt;_x000d__x000a_        &amp;lt;IsJudicalPanel&amp;gt;fals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החלטה מיום 11.8 נשלחה &amp;lt;/CaseDesc&amp;gt;_x000d__x000a_        &amp;lt;isExistMinorSide&amp;gt;false&amp;lt;/isExistMinorSide&amp;gt;_x000d__x000a_        &amp;lt;isExistMinorWitness&amp;gt;false&amp;lt;/isExistMinorWitness&amp;gt;_x000d__x000a_        &amp;lt;IsDecisionTypeZaveElyon&amp;gt;false&amp;lt;/IsDecisionTypeZaveElyon&amp;gt;_x000d__x000a_        &amp;lt;IsExistPrisoner&amp;gt;false&amp;lt;/IsExistPrisoner&amp;gt;_x000d__x000a_        &amp;lt;IsExistDetainee&amp;gt;false&amp;lt;/IsExistDetainee&amp;gt;_x000d__x000a_        &amp;lt;IsDebitExist&amp;gt;false&amp;lt;/IsDebitExist&amp;gt;_x000d__x000a_        &amp;lt;DebitExsitDate&amp;gt;2015-10-21T03:00:00+03: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2095259&amp;lt;/CaseID&amp;gt;_x000d__x000a_        &amp;lt;CaseMonth&amp;gt;8&amp;lt;/CaseMonth&amp;gt;_x000d__x000a_        &amp;lt;CaseYear&amp;gt;2014&amp;lt;/CaseYear&amp;gt;_x000d__x000a_        &amp;lt;CaseNumber&amp;gt;25595&amp;lt;/CaseNumber&amp;gt;_x000d__x000a_        &amp;lt;NumeratorGroupID&amp;gt;1&amp;lt;/NumeratorGroupID&amp;gt;_x000d__x000a_        &amp;lt;CaseName&amp;gt;פרי נ&amp;#39; ניו לינאו סינמה (2006) בע&amp;quot;מ ואח&amp;#39;&amp;lt;/CaseName&amp;gt;_x000d__x000a_        &amp;lt;CourtID&amp;gt;896&amp;lt;/CourtID&amp;gt;_x000d__x000a_        &amp;lt;CaseTypeID&amp;gt;10036&amp;lt;/CaseTypeID&amp;gt;_x000d__x000a_        &amp;lt;CaseInterestID&amp;gt;106&amp;lt;/CaseInterestID&amp;gt;_x000d__x000a_        &amp;lt;CaseJudgeName&amp;gt;פרופ&amp;#39; עופר גרוסקופף&amp;lt;/CaseJudgeName&amp;gt;_x000d__x000a_        &amp;lt;CaseLinkTypeID&amp;gt;1&amp;lt;/CaseLinkTypeID&amp;gt;_x000d__x000a_        &amp;lt;ProcedureID&amp;gt;1&amp;lt;/ProcedureID&amp;gt;_x000d__x000a_        &amp;lt;CaseStatusID&amp;gt;1&amp;lt;/CaseStatusID&amp;gt;_x000d__x000a_        &amp;lt;ProceedingID&amp;gt;1&amp;lt;/ProceedingID&amp;gt;_x000d__x000a_        &amp;lt;IsCaseLinked&amp;gt;true&amp;lt;/IsCaseLinked&amp;gt;_x000d__x000a_        &amp;lt;PrivilegeID&amp;gt;1&amp;lt;/PrivilegeID&amp;gt;_x000d__x000a_        &amp;lt;IsAppealingCaseExist&amp;gt;false&amp;lt;/IsAppealingCaseExist&amp;gt;_x000d__x000a_        &amp;lt;CaseDisplayIdentifier&amp;gt;25595-08-14&amp;lt;/CaseDisplayIdentifier&amp;gt;_x000d__x000a_        &amp;lt;CaseTypeDesc&amp;gt;ת&amp;quot;צ&amp;lt;/CaseTypeDesc&amp;gt;_x000d__x000a_        &amp;lt;CourtDesc&amp;gt;המחוזי מרכז &amp;lt;/CourtDesc&amp;gt;_x000d__x000a_        &amp;lt;CaseStageDesc&amp;gt;תיק אלקטרוני&amp;lt;/CaseStageDesc&amp;gt;_x000d__x000a_        &amp;lt;CaseNextDeterminingTask&amp;gt;151&amp;lt;/CaseNextDeterminingTask&amp;gt;_x000d__x000a_        &amp;lt;CaseOpenDate&amp;gt;2014-08-18T09:17:00+03:00&amp;lt;/CaseOpenDate&amp;gt;_x000d__x000a_        &amp;lt;PleaTypeID&amp;gt;4&amp;lt;/PleaTypeID&amp;gt;_x000d__x000a_        &amp;lt;CourtLevelID&amp;gt;2&amp;lt;/CourtLevelID&amp;gt;_x000d__x000a_        &amp;lt;CourtLevelCaseTypeInterestID&amp;gt;73&amp;lt;/CourtLevelCaseTypeInterestID&amp;gt;_x000d__x000a_        &amp;lt;CaseJudgeFirstName&amp;gt;עופר&amp;lt;/CaseJudgeFirstName&amp;gt;_x000d__x000a_        &amp;lt;CaseJudgeLastName&amp;gt;גרוסקופף&amp;lt;/CaseJudgeLastName&amp;gt;_x000d__x000a_        &amp;lt;JudicalPersonID&amp;gt;024602203@GOV.IL&amp;lt;/JudicalPersonID&amp;gt;_x000d__x000a_        &amp;lt;IsJudicalPanel&amp;gt;fals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החלטה מיום 11.8 נשלחה &amp;lt;/CaseDesc&amp;gt;_x000d__x000a_      &amp;lt;/CasePresentationDataSet&amp;gt;_x000d__x000a_    &amp;lt;/diffgr:before&amp;gt;_x000d__x000a_  &amp;lt;/diffgr:diffgram&amp;gt;_x000d__x000a_&amp;lt;/CasePresentationDS&amp;gt;"/>
    <w:docVar w:name="CourtID" w:val="896"/>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97775466&amp;lt;/DecisionID&amp;gt;_x000d__x000a_        &amp;lt;DecisionName&amp;gt;פסק דין  שניתנה ע&amp;quot;י  פרופ&amp;#39; עופר גרוסקופף&amp;lt;/DecisionName&amp;gt;_x000d__x000a_        &amp;lt;DecisionStatusID&amp;gt;1&amp;lt;/DecisionStatusID&amp;gt;_x000d__x000a_        &amp;lt;DecisionStatusChangeDate&amp;gt;2015-11-04T13:42:07.02+02:00&amp;lt;/DecisionStatusChangeDate&amp;gt;_x000d__x000a_        &amp;lt;DecisionSignatureDate&amp;gt;2015-11-04T10:15:32.557+02:00&amp;lt;/DecisionSignatureDate&amp;gt;_x000d__x000a_        &amp;lt;DecisionSignatureUserID&amp;gt;024602203@GOV.IL&amp;lt;/DecisionSignatureUserID&amp;gt;_x000d__x000a_        &amp;lt;DecisionCreateDate&amp;gt;2015-11-04T10:20:52.697+02:00&amp;lt;/DecisionCreateDate&amp;gt;_x000d__x000a_        &amp;lt;DecisionChangeDate&amp;gt;2015-11-04T13:42:07.183+02:00&amp;lt;/DecisionChangeDate&amp;gt;_x000d__x000a_        &amp;lt;DecisionChangeUserID&amp;gt;024602203@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DocumentID&amp;gt;211299979&amp;lt;/DocumentID&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24602203@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22481584@GOV.IL&amp;lt;/DecisionCreationUserID&amp;gt;_x000d__x000a_        &amp;lt;DecisionDisplayName&amp;gt;פסק דין  שניתנה ע&amp;quot;י  פרופ&amp;#39; עופר גרוסקופף&amp;lt;/DecisionDisplayName&amp;gt;_x000d__x000a_        &amp;lt;IsScanned&amp;gt;false&amp;lt;/IsScanned&amp;gt;_x000d__x000a_        &amp;lt;DecisionSignatureUserName&amp;gt;פרופ&amp;#39; עופר גרוסקופף&amp;lt;/DecisionSignatureUserName&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amp;gt;_x000d__x000a_        &amp;lt;DecisionID&amp;gt;97775466&amp;lt;/DecisionID&amp;gt;_x000d__x000a_        &amp;lt;CaseID&amp;gt;72123993&amp;lt;/CaseID&amp;gt;_x000d__x000a_        &amp;lt;IsOriginal&amp;gt;false&amp;lt;/IsOriginal&amp;gt;_x000d__x000a_        &amp;lt;IsDeleted&amp;gt;false&amp;lt;/IsDeleted&amp;gt;_x000d__x000a_        &amp;lt;CaseLinkTypeID&amp;gt;1&amp;lt;/CaseLinkTypeID&amp;gt;_x000d__x000a_        &amp;lt;CaseName&amp;gt;כהן ואח&amp;#39; נ&amp;#39; התיאטרון הלאומי הבימה בע&amp;quot;מ(חל&amp;quot;צ) ואח&amp;#39;&amp;lt;/CaseName&amp;gt;_x000d__x000a_        &amp;lt;CaseDisplayIdentifier&amp;gt;4850-09-14 ת&amp;quot;צ&amp;lt;/CaseDisplayIdentifier&amp;gt;_x000d__x000a_      &amp;lt;/dt_DecisionCase&amp;gt;_x000d__x000a_      &amp;lt;dt_DecisionCase diffgr:id=&amp;quot;dt_DecisionCase2&amp;quot; msdata:rowOrder=&amp;quot;1&amp;quot;&amp;gt;_x000d__x000a_        &amp;lt;DecisionID&amp;gt;97775466&amp;lt;/DecisionID&amp;gt;_x000d__x000a_        &amp;lt;CaseID&amp;gt;72095259&amp;lt;/CaseID&amp;gt;_x000d__x000a_        &amp;lt;IsOriginal&amp;gt;true&amp;lt;/IsOriginal&amp;gt;_x000d__x000a_        &amp;lt;IsDeleted&amp;gt;false&amp;lt;/IsDeleted&amp;gt;_x000d__x000a_        &amp;lt;CaseLinkTypeID&amp;gt;1&amp;lt;/CaseLinkTypeID&amp;gt;_x000d__x000a_        &amp;lt;CaseName&amp;gt;פרי נ&amp;#39; ניו לינאו סינמה (2006) בע&amp;quot;מ ואח&amp;#39;&amp;lt;/CaseName&amp;gt;_x000d__x000a_        &amp;lt;CaseDisplayIdentifier&amp;gt;25595-08-14 ת&amp;quot;צ&amp;lt;/CaseDisplayIdentifier&amp;gt;_x000d__x000a_      &amp;lt;/dt_DecisionCase&amp;gt;_x000d__x000a_    &amp;lt;/DecisionDS&amp;gt;_x000d__x000a_  &amp;lt;/diffgr:diffgram&amp;gt;_x000d__x000a_&amp;lt;/DecisionDS&amp;gt;"/>
    <w:docVar w:name="DecisionID" w:val="97775466"/>
    <w:docVar w:name="WordClientAssemblyName" w:val="NGCS.Decision.ClientWordBL"/>
    <w:docVar w:name="WordClientClassName" w:val="NGCS.Decision.ClientWordBL.DecisionClient"/>
  </w:docVar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536381-D80A-4082-BD55-2E470B0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bidi/>
    </w:pPr>
    <w:rPr>
      <w:rFonts w:cs="David"/>
      <w:noProof/>
      <w:sz w:val="24"/>
      <w:szCs w:val="24"/>
    </w:rPr>
  </w:style>
  <w:style w:type="paragraph" w:styleId="4">
    <w:name w:val="heading 4"/>
    <w:basedOn w:val="a"/>
    <w:next w:val="a"/>
    <w:qFormat/>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customStyle="1" w:styleId="a6">
    <w:name w:val="סעיפים"/>
    <w:basedOn w:val="a"/>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7">
    <w:name w:val="annotation text"/>
    <w:basedOn w:val="a"/>
    <w:semiHidden/>
    <w:rPr>
      <w:rFonts w:cs="Times New Roman"/>
      <w:noProof w:val="0"/>
    </w:rPr>
  </w:style>
  <w:style w:type="character" w:styleId="a8">
    <w:name w:val="annotation reference"/>
    <w:basedOn w:val="a0"/>
    <w:semiHidden/>
    <w:rPr>
      <w:sz w:val="16"/>
      <w:szCs w:val="16"/>
    </w:rPr>
  </w:style>
  <w:style w:type="paragraph" w:styleId="a9">
    <w:name w:val="Balloon Text"/>
    <w:basedOn w:val="a"/>
    <w:semiHidden/>
    <w:rPr>
      <w:rFonts w:ascii="Tahoma" w:hAnsi="Tahoma" w:cs="Tahoma"/>
      <w:sz w:val="16"/>
      <w:szCs w:val="16"/>
    </w:rPr>
  </w:style>
  <w:style w:type="table" w:styleId="aa">
    <w:name w:val="Table Grid"/>
    <w:basedOn w:val="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style>
  <w:style w:type="character" w:styleId="ac">
    <w:name w:val="page number"/>
    <w:basedOn w:val="a0"/>
  </w:style>
  <w:style w:type="table" w:customStyle="1" w:styleId="1">
    <w:name w:val="טבלת רשת1"/>
    <w:basedOn w:val="a1"/>
    <w:next w:val="a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Pr>
      <w:color w:val="808080"/>
    </w:rPr>
  </w:style>
  <w:style w:type="character" w:customStyle="1" w:styleId="a4">
    <w:name w:val="כותרת עליונה תו"/>
    <w:basedOn w:val="a0"/>
    <w:link w:val="a3"/>
    <w:rPr>
      <w:rFonts w:cs="David"/>
      <w:noProof/>
      <w:sz w:val="24"/>
      <w:szCs w:val="24"/>
    </w:rPr>
  </w:style>
  <w:style w:type="paragraph" w:styleId="ae">
    <w:name w:val="List Paragraph"/>
    <w:basedOn w:val="a"/>
    <w:uiPriority w:val="34"/>
    <w:qFormat/>
    <w:pPr>
      <w:spacing w:after="160" w:line="259" w:lineRule="auto"/>
      <w:ind w:left="720"/>
      <w:contextualSpacing/>
    </w:pPr>
    <w:rPr>
      <w:rFonts w:asciiTheme="minorHAnsi" w:hAnsiTheme="minorHAnsi" w:cs="Arial"/>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iesSelectionDS>
      <CaseParties>
        <PartyTypeName>בא כוח</PartyTypeName>
        <ProceedingType>כתב טענות עיקרי</ProceedingType>
        <PleaName>כתב תביעה</PleaName>
        <PartyBelonging> - </PartyBelonging>
        <RoleName>בא כוח מבקשים</RoleName>
        <IsSubProceeding>FALSE</IsSubProceeding>
        <FullName>ליאורה חביליו</FullName>
        <FirstName>ליאורה</FirstName>
        <LastName>חביליו</LastName>
        <PartyPropertyName/>
        <AuthenticationTypeAndNumber>מ.ר. 12119</AuthenticationTypeAndNumber>
        <RepresentatedOrRepresentativesNames xml:space="preserve"> </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142661813</CasePartyID>
        <PartyTypeID>2</PartyTypeID>
        <ActivityStatusID>1</ActivityStatusID>
        <PartyAliasID>22</PartyAliasID>
        <PartyAliasName>בא כוח מבקשים</PartyAliasName>
        <LegalEntityID>395407</LegalEntityID>
        <CaseLegalEntityID>91014957</CaseLegalEntityID>
        <AuthenticationTypeID>4</AuthenticationTypeID>
        <AuthenticationTypeName>מ.ר.</AuthenticationTypeName>
        <LegalEntityNumber>12119</LegalEntityNumber>
        <IsMainPartyType>true</IsMainPartyType>
        <CaseDisplayIdentifier>25595-08-14</CaseDisplayIdentifier>
        <CaseTypeID>10036</CaseTypeID>
        <CaseTypeName>תובענה ייצוגית (ת"צ)</CaseTypeName>
        <CaseName>פרי נ' ניו לינאו סינמה (2006) בע"מ ואח'</CaseName>
        <FullAddress>דרך מנחם בגין 154 תל אביב - יפו בית קרדן</FullAddress>
        <EmailAddress>Ez_tel-aviv@justice.gov.il</EmailAddress>
        <MotionID>0</MotionID>
        <CasePleaID>0</CasePleaID>
        <FatherName xml:space="preserve">        </FatherName>
        <LinkedCaseID>0</LinkedCaseID>
        <CasePartyCategoryID>2</CasePartyCategoryID>
        <LegalEntityAddressID>77812855</LegalEntityAddressID>
        <LegalEntityEmailAddressID>67888620</LegalEntityEmailAddressID>
        <PleaTypeID>4</PleaTypeID>
        <LawyerOfficeName>פרקליטות מחוז ת"א - אזרחי</LawyerOfficeName>
        <LawyerOfficeID>1503942</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גיל הירשמן</FullName>
        <FirstName>גיל</FirstName>
        <LastName>הירשמן</LastName>
        <PartyPropertyName/>
        <AuthenticationTypeAndNumber>מ.ר. 18805</AuthenticationTypeAndNumber>
        <RepresentatedOrRepresentativesNames xml:space="preserve"> </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132390934</CasePartyID>
        <PartyTypeID>2</PartyTypeID>
        <ActivityStatusID>1</ActivityStatusID>
        <PartyAliasID>21</PartyAliasID>
        <PartyAliasName>בא כוח נתבעים</PartyAliasName>
        <LegalEntityID>387212</LegalEntityID>
        <CaseLegalEntityID>88039118</CaseLegalEntityID>
        <AuthenticationTypeID>4</AuthenticationTypeID>
        <AuthenticationTypeName>מ.ר.</AuthenticationTypeName>
        <LegalEntityNumber>18805</LegalEntityNumber>
        <IsMainPartyType>true</IsMainPartyType>
        <CaseDisplayIdentifier>25595-08-14</CaseDisplayIdentifier>
        <CaseTypeID>10036</CaseTypeID>
        <CaseTypeName>תובענה ייצוגית (ת"צ)</CaseTypeName>
        <CaseName>פרי נ' ניו לינאו סינמה (2006) בע"מ ואח'</CaseName>
        <FullAddress>ברקוביץ 4 תל אביב - יפו ת.ד 18198</FullAddress>
        <EmailAddress>main@gilhir.co.il</EmailAddress>
        <MotionID>0</MotionID>
        <CasePleaID>0</CasePleaID>
        <LinkedCaseID>0</LinkedCaseID>
        <PartyID>2</PartyID>
        <CasePartyCategoryID>2</CasePartyCategoryID>
        <LegalEntityAddressID>75697028</LegalEntityAddressID>
        <LegalEntityEmailAddressID>14802496</LegalEntityEmailAddressID>
        <PleaTypeID>4</PleaTypeID>
        <LawyerOfficeName>משרד עו"ד: גיל הירשמן ושות'</LawyerOfficeName>
        <LawyerOfficeID>427856</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תומר אפלדורף</FullName>
        <FirstName>תומר</FirstName>
        <LastName>אפלדורף</LastName>
        <PartyPropertyName/>
        <AuthenticationTypeAndNumber>מ.ר. 49670</AuthenticationTypeAndNumber>
        <RepresentatedOrRepresentativesNames>דב פרי</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126839311</CasePartyID>
        <PartyTypeID>2</PartyTypeID>
        <ActivityStatusID>1</ActivityStatusID>
        <PartyAliasID>20</PartyAliasID>
        <PartyAliasName>בא כוח תובעים</PartyAliasName>
        <OrdinalNumber>1</OrdinalNumber>
        <LegalEntityID>15875652</LegalEntityID>
        <CaseLegalEntityID>86372309</CaseLegalEntityID>
        <AuthenticationTypeID>4</AuthenticationTypeID>
        <AuthenticationTypeName>מ.ר.</AuthenticationTypeName>
        <LegalEntityNumber>49670</LegalEntityNumber>
        <IsMainPartyType>true</IsMainPartyType>
        <CaseDisplayIdentifier>25595-08-14</CaseDisplayIdentifier>
        <CaseTypeID>10036</CaseTypeID>
        <CaseTypeName>תובענה ייצוגית (ת"צ)</CaseTypeName>
        <CaseName>פרי נ' ניו לינאו סינמה (2006) בע"מ ואח'</CaseName>
        <FullAddress>. תל אביב - יפו ת.ד 34046</FullAddress>
        <MotionID>0</MotionID>
        <CasePleaID>0</CasePleaID>
        <LinkedCaseID>0</LinkedCaseID>
        <PartyID>1</PartyID>
        <CasePartyCategoryID>2</CasePartyCategoryID>
        <LegalEntityAddressID>71024181</LegalEntityAddressID>
        <PleaTypeID>4</PleaTypeID>
        <LawyerOfficeName>משרד עו"ד תומר אפלדורף</LawyerOfficeName>
        <LawyerOfficeID>15875653</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דב פרי</FullName>
        <FirstName>דב</FirstName>
        <LastName>פרי</LastName>
        <PartyPropertyName/>
        <AuthenticationTypeAndNumber>ת.ז. 007238009</AuthenticationTypeAndNumber>
        <RepresentatedOrRepresentativesNames>תומר אפלדורף</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126839310</CasePartyID>
        <PartyTypeID>1</PartyTypeID>
        <ActivityStatusID>1</ActivityStatusID>
        <PartyAliasID>1</PartyAliasID>
        <PartyAliasName>תובע</PartyAliasName>
        <OrdinalNumber>1</OrdinalNumber>
        <LegalEntityID>71263791</LegalEntityID>
        <CaseLegalEntityID>86372308</CaseLegalEntityID>
        <AuthenticationTypeID>1</AuthenticationTypeID>
        <AuthenticationTypeName>ת.ז.</AuthenticationTypeName>
        <LegalEntityNumber>007238009</LegalEntityNumber>
        <IsMainPartyType>true</IsMainPartyType>
        <CaseDisplayIdentifier>25595-08-14</CaseDisplayIdentifier>
        <CaseTypeID>10036</CaseTypeID>
        <CaseTypeName>תובענה ייצוגית (ת"צ)</CaseTypeName>
        <CaseName>פרי נ' ניו לינאו סינמה (2006) בע"מ ואח'</CaseName>
        <FullAddress/>
        <MotionID>0</MotionID>
        <CasePleaID>0</CasePleaID>
        <BirthDate>1943-05-20T00:00:00+02:00</BirthDate>
        <FatherName>זלמן    </FatherName>
        <LinkedCaseID>0</LinkedCaseID>
        <PartyID>1</PartyID>
        <CasePartyCategoryID>2</CasePartyCategoryID>
        <PleaTypeID>4</PleaTypeID>
        <GroupPartyAlias>תובעים</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ניו לינאו סינמה (2006) בע"מ</FullName>
        <LastName>ניו לינאו סינמה (2006) בע"מ</LastName>
        <PartyPropertyName/>
        <AuthenticationTypeAndNumber>חברות 513910265</AuthenticationTypeAndNumber>
        <RepresentatedOrRepresentativesNames>גיל הירשמן, אלי סבן</RepresentatedOrRepresentativesNames>
        <RepresentatedOrRepresentativesCount>2</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126839312</CasePartyID>
        <PartyTypeID>1</PartyTypeID>
        <ActivityStatusID>1</ActivityStatusID>
        <PartyAliasID>2</PartyAliasID>
        <PartyAliasName>נתבע</PartyAliasName>
        <OrdinalNumber>1</OrdinalNumber>
        <LegalEntityID>33171944</LegalEntityID>
        <CaseLegalEntityID>86372310</CaseLegalEntityID>
        <AuthenticationTypeID>3</AuthenticationTypeID>
        <AuthenticationTypeName>חברות</AuthenticationTypeName>
        <LegalEntityNumber>513910265</LegalEntityNumber>
        <IsMainPartyType>true</IsMainPartyType>
        <CaseDisplayIdentifier>25595-08-14</CaseDisplayIdentifier>
        <CaseTypeID>10036</CaseTypeID>
        <CaseTypeName>תובענה ייצוגית (ת"צ)</CaseTypeName>
        <CaseName>פרי נ' ניו לינאו סינמה (2006) בע"מ ואח'</CaseName>
        <FullAddress>פי גלילות 0 רמת השרון </FullAddress>
        <MotionID>0</MotionID>
        <CasePleaID>0</CasePleaID>
        <LinkedCaseID>0</LinkedCaseID>
        <PartyID>2</PartyID>
        <CasePartyCategoryID>2</CasePartyCategoryID>
        <LegalEntityAddressID>74097575</LegalEntityAddressID>
        <PleaTypeID>4</PleaTypeID>
        <GroupPartyAlias>נתבעים</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שאול שרצר</FullName>
        <FirstName>שאול</FirstName>
        <LastName>שרצר</LastName>
        <PartyPropertyName/>
        <AuthenticationTypeAndNumber>מ.ר. 11798</AuthenticationTypeAndNumber>
        <RepresentatedOrRepresentativesNames xml:space="preserve"> </RepresentatedOrRepresentativesNames>
        <RepresentatedOrRepresentativesCount>3</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130009060</CasePartyID>
        <PartyTypeID>2</PartyTypeID>
        <ActivityStatusID>1</ActivityStatusID>
        <PartyAliasID>21</PartyAliasID>
        <PartyAliasName>בא כוח נתבעים</PartyAliasName>
        <OrdinalNumber>1</OrdinalNumber>
        <LegalEntityID>380782</LegalEntityID>
        <CaseLegalEntityID>87347645</CaseLegalEntityID>
        <AuthenticationTypeID>4</AuthenticationTypeID>
        <AuthenticationTypeName>מ.ר.</AuthenticationTypeName>
        <LegalEntityNumber>11798</LegalEntityNumber>
        <IsMainPartyType>true</IsMainPartyType>
        <CaseDisplayIdentifier>25595-08-14</CaseDisplayIdentifier>
        <CaseTypeID>10036</CaseTypeID>
        <CaseTypeName>תובענה ייצוגית (ת"צ)</CaseTypeName>
        <CaseName>פרי נ' ניו לינאו סינמה (2006) בע"מ ואח'</CaseName>
        <FullAddress>הנצי"ב 29 תל אביב - יפו </FullAddress>
        <EmailAddress>ss666@012.net.il</EmailAddress>
        <MotionID>0</MotionID>
        <CasePleaID>0</CasePleaID>
        <LinkedCaseID>0</LinkedCaseID>
        <PartyID>2</PartyID>
        <CasePartyCategoryID>2</CasePartyCategoryID>
        <LegalEntityAddressID>76818382</LegalEntityAddressID>
        <LegalEntityEmailAddressID>67840998</LegalEntityEmailAddressID>
        <PleaTypeID>4</PleaTypeID>
        <LawyerOfficeName>משרד עו"ד: שאול שרצר</LawyerOfficeName>
        <LawyerOfficeID>421426</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אלי סבן</FullName>
        <FirstName>אלי</FirstName>
        <LastName>סבן</LastName>
        <PartyPropertyName/>
        <AuthenticationTypeAndNumber>מ.ר. 42410</AuthenticationTypeAndNumber>
        <RepresentatedOrRepresentativesNames xml:space="preserve"> </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128499104</CasePartyID>
        <PartyTypeID>2</PartyTypeID>
        <ActivityStatusID>1</ActivityStatusID>
        <PartyAliasID>21</PartyAliasID>
        <PartyAliasName>בא כוח נתבעים</PartyAliasName>
        <OrdinalNumber>2</OrdinalNumber>
        <LegalEntityID>418512</LegalEntityID>
        <CaseLegalEntityID>86891093</CaseLegalEntityID>
        <AuthenticationTypeID>4</AuthenticationTypeID>
        <AuthenticationTypeName>מ.ר.</AuthenticationTypeName>
        <LegalEntityNumber>42410</LegalEntityNumber>
        <IsMainPartyType>true</IsMainPartyType>
        <CaseDisplayIdentifier>25595-08-14</CaseDisplayIdentifier>
        <CaseTypeID>10036</CaseTypeID>
        <CaseTypeName>תובענה ייצוגית (ת"צ)</CaseTypeName>
        <CaseName>פרי נ' ניו לינאו סינמה (2006) בע"מ ואח'</CaseName>
        <FullAddress>לינקולן 20 תל אביב - יפו בית רובינשטיין</FullAddress>
        <MotionID>0</MotionID>
        <CasePleaID>0</CasePleaID>
        <LinkedCaseID>0</LinkedCaseID>
        <PartyID>2</PartyID>
        <CasePartyCategoryID>2</CasePartyCategoryID>
        <LegalEntityAddressID>70323881</LegalEntityAddressID>
        <PleaTypeID>4</PleaTypeID>
        <LawyerOfficeName>משרד עו"ד: חיים צדוק ושות'</LawyerOfficeName>
        <LawyerOfficeID>420815</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ת.י. תאטראות 2004 בע"מ</FullName>
        <LastName>ת.י. תאטראות 2004 בע"מ</LastName>
        <PartyPropertyName/>
        <AuthenticationTypeAndNumber>חברות 513492363</AuthenticationTypeAndNumber>
        <RepresentatedOrRepresentativesNames>שאול שרצר</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126839313</CasePartyID>
        <PartyTypeID>1</PartyTypeID>
        <ActivityStatusID>1</ActivityStatusID>
        <PartyAliasID>2</PartyAliasID>
        <PartyAliasName>נתבע</PartyAliasName>
        <OrdinalNumber>2</OrdinalNumber>
        <LegalEntityID>341137</LegalEntityID>
        <CaseLegalEntityID>86372311</CaseLegalEntityID>
        <AuthenticationTypeID>3</AuthenticationTypeID>
        <AuthenticationTypeName>חברות</AuthenticationTypeName>
        <LegalEntityNumber>513492363</LegalEntityNumber>
        <IsMainPartyType>true</IsMainPartyType>
        <CaseDisplayIdentifier>25595-08-14</CaseDisplayIdentifier>
        <CaseTypeID>10036</CaseTypeID>
        <CaseTypeName>תובענה ייצוגית (ת"צ)</CaseTypeName>
        <CaseName>פרי נ' ניו לינאו סינמה (2006) בע"מ ואח'</CaseName>
        <FullAddress>הנביאים 18 חיפה </FullAddress>
        <MotionID>0</MotionID>
        <CasePleaID>0</CasePleaID>
        <LinkedCaseID>0</LinkedCaseID>
        <PartyID>2</PartyID>
        <CasePartyCategoryID>2</CasePartyCategoryID>
        <LegalEntityAddressID>74027968</LegalEntityAddressID>
        <PleaTypeID>4</PleaTypeID>
        <GroupPartyAlias>נתבעים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3</RoleName>
        <IsSubProceeding>FALSE</IsSubProceeding>
        <FullName>בתי קולנוע תאטראות בע"מ</FullName>
        <LastName>בתי קולנוע תאטראות בע"מ</LastName>
        <PartyPropertyName/>
        <AuthenticationTypeAndNumber>חברות 511361412</AuthenticationTypeAndNumber>
        <RepresentatedOrRepresentativesNames>שאול שרצר</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126839314</CasePartyID>
        <PartyTypeID>1</PartyTypeID>
        <ActivityStatusID>1</ActivityStatusID>
        <PartyAliasID>2</PartyAliasID>
        <PartyAliasName>נתבע</PartyAliasName>
        <OrdinalNumber>3</OrdinalNumber>
        <LegalEntityID>118000</LegalEntityID>
        <CaseLegalEntityID>86372312</CaseLegalEntityID>
        <AuthenticationTypeID>3</AuthenticationTypeID>
        <AuthenticationTypeName>חברות</AuthenticationTypeName>
        <LegalEntityNumber>511361412</LegalEntityNumber>
        <IsMainPartyType>true</IsMainPartyType>
        <CaseDisplayIdentifier>25595-08-14</CaseDisplayIdentifier>
        <CaseTypeID>10036</CaseTypeID>
        <CaseTypeName>תובענה ייצוגית (ת"צ)</CaseTypeName>
        <CaseName>פרי נ' ניו לינאו סינמה (2006) בע"מ ואח'</CaseName>
        <FullAddress>מדינת היהודים 91 הרצליה </FullAddress>
        <MotionID>0</MotionID>
        <CasePleaID>0</CasePleaID>
        <LinkedCaseID>0</LinkedCaseID>
        <PartyID>2</PartyID>
        <CasePartyCategoryID>2</CasePartyCategoryID>
        <LegalEntityAddressID>74347626</LegalEntityAddressID>
        <PleaTypeID>4</PleaTypeID>
        <GroupPartyAlias>נתבעים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4</RoleName>
        <IsSubProceeding>FALSE</IsSubProceeding>
        <FullName>תיאטראות ישראל בעמ</FullName>
        <LastName>תיאטראות ישראל בעמ</LastName>
        <PartyPropertyName/>
        <AuthenticationTypeAndNumber>חברות 520022948</AuthenticationTypeAndNumber>
        <RepresentatedOrRepresentativesNames>שאול שרצר</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126839315</CasePartyID>
        <PartyTypeID>1</PartyTypeID>
        <ActivityStatusID>1</ActivityStatusID>
        <PartyAliasID>2</PartyAliasID>
        <PartyAliasName>נתבע</PartyAliasName>
        <OrdinalNumber>4</OrdinalNumber>
        <LegalEntityID>361198</LegalEntityID>
        <CaseLegalEntityID>86372313</CaseLegalEntityID>
        <AuthenticationTypeID>3</AuthenticationTypeID>
        <AuthenticationTypeName>חברות</AuthenticationTypeName>
        <LegalEntityNumber>520022948</LegalEntityNumber>
        <IsMainPartyType>true</IsMainPartyType>
        <CaseDisplayIdentifier>25595-08-14</CaseDisplayIdentifier>
        <CaseTypeID>10036</CaseTypeID>
        <CaseTypeName>תובענה ייצוגית (ת"צ)</CaseTypeName>
        <CaseName>פרי נ' ניו לינאו סינמה (2006) בע"מ ואח'</CaseName>
        <FullAddress>הנביאים 18 חיפה </FullAddress>
        <MotionID>0</MotionID>
        <CasePleaID>0</CasePleaID>
        <LinkedCaseID>0</LinkedCaseID>
        <PartyID>2</PartyID>
        <CasePartyCategoryID>2</CasePartyCategoryID>
        <LegalEntityAddressID>75098130</LegalEntityAddressID>
        <PleaTypeID>4</PleaTypeID>
        <GroupPartyAlias>נתבעים</GroupPartyAlias>
        <IsConverted>false</IsConverted>
        <RepresentatedNamesOfAssistant/>
        <LegalEntityTypeID>3</LegalEntityTypeID>
        <IsVerdictExists>false</IsVerdictExists>
        <IsAsirAzir>false</IsAsirAzir>
      </CaseParties>
    </CasePartiesSelectionDS>
    <DecisionName>פסק דין  שניתנה ע"י  פרופ' עופר גרוסקופף</DecisionName>
    <CourtDisplayName>בית המשפט המחוזי מרכז-לוד</CourtDisplayName>
    <IsCaseJudgePanel>false</IsCaseJudgePanel>
    <DecisionSignatureDate>2015-11-04T10:15:32.5551641+02:00</DecisionSignatureDate>
    <OpenCaseDate>2014-08-18T09:17:00+03:00</OpenCaseDate>
    <CaseFeeSum>19.000</CaseFeeSum>
    <DecisionTypeID>2</DecisionTypeID>
    <DecisionSignatureUserName>פרופ' עופר גרוסקופף</DecisionSignatureUserName>
    <DecisionSignatureDateHebrew>2015-11-04T10:15:32.5551641+02:00</DecisionSignatureDateHebrew>
    <DecisionWriterID>024602203@GOV.IL</DecisionWriterID>
    <CourtAddress>רח' שדרות הציונות 3, לוד -1</CourtAddress>
    <IsAutoTextInCaseExist>true</IsAutoTextInCaseExist>
    <DecisionSignatureRoleName>שופט</DecisionSignatureRoleName>
    <DecisionSignatureUserTitleName>שופט</DecisionSignatureUserTitleName>
  </dt_Decision>
  <dt_DecisionCase>
    <DecisionID>0</DecisionID>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iesSelectionDS>
      <CaseParties>
        <PartyTypeName>בא כוח</PartyTypeName>
        <ProceedingType>כתב טענות עיקרי</ProceedingType>
        <PleaName>כתב תביעה</PleaName>
        <PartyBelonging> - </PartyBelonging>
        <RoleName>בא כוח מבקשים</RoleName>
        <IsSubProceeding>FALSE</IsSubProceeding>
        <FullName>ליאורה חביליו</FullName>
        <FirstName>ליאורה</FirstName>
        <LastName>חביליו</LastName>
        <PartyPropertyName/>
        <AuthenticationTypeAndNumber>מ.ר. 12119</AuthenticationTypeAndNumber>
        <RepresentatedOrRepresentativesNames xml:space="preserve"> </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142661813</CasePartyID>
        <PartyTypeID>2</PartyTypeID>
        <ActivityStatusID>1</ActivityStatusID>
        <PartyAliasID>22</PartyAliasID>
        <PartyAliasName>בא כוח מבקשים</PartyAliasName>
        <LegalEntityID>395407</LegalEntityID>
        <CaseLegalEntityID>91014957</CaseLegalEntityID>
        <AuthenticationTypeID>4</AuthenticationTypeID>
        <AuthenticationTypeName>מ.ר.</AuthenticationTypeName>
        <LegalEntityNumber>12119</LegalEntityNumber>
        <IsMainPartyType>true</IsMainPartyType>
        <CaseDisplayIdentifier>25595-08-14</CaseDisplayIdentifier>
        <CaseTypeID>10036</CaseTypeID>
        <CaseTypeName>תובענה ייצוגית (ת"צ)</CaseTypeName>
        <CaseName>פרי נ' ניו לינאו סינמה (2006) בע"מ ואח'</CaseName>
        <FullAddress>דרך מנחם בגין 154 תל אביב - יפו בית קרדן</FullAddress>
        <EmailAddress>Ez_tel-aviv@justice.gov.il</EmailAddress>
        <MotionID>0</MotionID>
        <CasePleaID>0</CasePleaID>
        <FatherName xml:space="preserve">        </FatherName>
        <LinkedCaseID>0</LinkedCaseID>
        <CasePartyCategoryID>2</CasePartyCategoryID>
        <LegalEntityAddressID>77812855</LegalEntityAddressID>
        <LegalEntityEmailAddressID>67888620</LegalEntityEmailAddressID>
        <PleaTypeID>4</PleaTypeID>
        <LawyerOfficeName>פרקליטות מחוז ת"א - אזרחי</LawyerOfficeName>
        <LawyerOfficeID>1503942</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גיל הירשמן</FullName>
        <FirstName>גיל</FirstName>
        <LastName>הירשמן</LastName>
        <PartyPropertyName/>
        <AuthenticationTypeAndNumber>מ.ר. 18805</AuthenticationTypeAndNumber>
        <RepresentatedOrRepresentativesNames xml:space="preserve"> </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132390934</CasePartyID>
        <PartyTypeID>2</PartyTypeID>
        <ActivityStatusID>1</ActivityStatusID>
        <PartyAliasID>21</PartyAliasID>
        <PartyAliasName>בא כוח נתבעים</PartyAliasName>
        <LegalEntityID>387212</LegalEntityID>
        <CaseLegalEntityID>88039118</CaseLegalEntityID>
        <AuthenticationTypeID>4</AuthenticationTypeID>
        <AuthenticationTypeName>מ.ר.</AuthenticationTypeName>
        <LegalEntityNumber>18805</LegalEntityNumber>
        <IsMainPartyType>true</IsMainPartyType>
        <CaseDisplayIdentifier>25595-08-14</CaseDisplayIdentifier>
        <CaseTypeID>10036</CaseTypeID>
        <CaseTypeName>תובענה ייצוגית (ת"צ)</CaseTypeName>
        <CaseName>פרי נ' ניו לינאו סינמה (2006) בע"מ ואח'</CaseName>
        <FullAddress>ברקוביץ 4 תל אביב - יפו ת.ד 18198</FullAddress>
        <EmailAddress>main@gilhir.co.il</EmailAddress>
        <MotionID>0</MotionID>
        <CasePleaID>0</CasePleaID>
        <LinkedCaseID>0</LinkedCaseID>
        <PartyID>2</PartyID>
        <CasePartyCategoryID>2</CasePartyCategoryID>
        <LegalEntityAddressID>75697028</LegalEntityAddressID>
        <LegalEntityEmailAddressID>14802496</LegalEntityEmailAddressID>
        <PleaTypeID>4</PleaTypeID>
        <LawyerOfficeName>משרד עו"ד: גיל הירשמן ושות'</LawyerOfficeName>
        <LawyerOfficeID>427856</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תומר אפלדורף</FullName>
        <FirstName>תומר</FirstName>
        <LastName>אפלדורף</LastName>
        <PartyPropertyName/>
        <AuthenticationTypeAndNumber>מ.ר. 49670</AuthenticationTypeAndNumber>
        <RepresentatedOrRepresentativesNames>דב פרי</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126839311</CasePartyID>
        <PartyTypeID>2</PartyTypeID>
        <ActivityStatusID>1</ActivityStatusID>
        <PartyAliasID>20</PartyAliasID>
        <PartyAliasName>בא כוח תובעים</PartyAliasName>
        <OrdinalNumber>1</OrdinalNumber>
        <LegalEntityID>15875652</LegalEntityID>
        <CaseLegalEntityID>86372309</CaseLegalEntityID>
        <AuthenticationTypeID>4</AuthenticationTypeID>
        <AuthenticationTypeName>מ.ר.</AuthenticationTypeName>
        <LegalEntityNumber>49670</LegalEntityNumber>
        <IsMainPartyType>true</IsMainPartyType>
        <CaseDisplayIdentifier>25595-08-14</CaseDisplayIdentifier>
        <CaseTypeID>10036</CaseTypeID>
        <CaseTypeName>תובענה ייצוגית (ת"צ)</CaseTypeName>
        <CaseName>פרי נ' ניו לינאו סינמה (2006) בע"מ ואח'</CaseName>
        <FullAddress>. תל אביב - יפו ת.ד 34046</FullAddress>
        <MotionID>0</MotionID>
        <CasePleaID>0</CasePleaID>
        <LinkedCaseID>0</LinkedCaseID>
        <PartyID>1</PartyID>
        <CasePartyCategoryID>2</CasePartyCategoryID>
        <LegalEntityAddressID>71024181</LegalEntityAddressID>
        <PleaTypeID>4</PleaTypeID>
        <LawyerOfficeName>משרד עו"ד תומר אפלדורף</LawyerOfficeName>
        <LawyerOfficeID>15875653</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דב פרי</FullName>
        <FirstName>דב</FirstName>
        <LastName>פרי</LastName>
        <PartyPropertyName/>
        <AuthenticationTypeAndNumber>ת.ז. 007238009</AuthenticationTypeAndNumber>
        <RepresentatedOrRepresentativesNames>תומר אפלדורף</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126839310</CasePartyID>
        <PartyTypeID>1</PartyTypeID>
        <ActivityStatusID>1</ActivityStatusID>
        <PartyAliasID>1</PartyAliasID>
        <PartyAliasName>תובע</PartyAliasName>
        <OrdinalNumber>1</OrdinalNumber>
        <LegalEntityID>71263791</LegalEntityID>
        <CaseLegalEntityID>86372308</CaseLegalEntityID>
        <AuthenticationTypeID>1</AuthenticationTypeID>
        <AuthenticationTypeName>ת.ז.</AuthenticationTypeName>
        <LegalEntityNumber>007238009</LegalEntityNumber>
        <IsMainPartyType>true</IsMainPartyType>
        <CaseDisplayIdentifier>25595-08-14</CaseDisplayIdentifier>
        <CaseTypeID>10036</CaseTypeID>
        <CaseTypeName>תובענה ייצוגית (ת"צ)</CaseTypeName>
        <CaseName>פרי נ' ניו לינאו סינמה (2006) בע"מ ואח'</CaseName>
        <FullAddress/>
        <MotionID>0</MotionID>
        <CasePleaID>0</CasePleaID>
        <BirthDate>1943-05-20T00:00:00+02:00</BirthDate>
        <FatherName>זלמן    </FatherName>
        <LinkedCaseID>0</LinkedCaseID>
        <PartyID>1</PartyID>
        <CasePartyCategoryID>2</CasePartyCategoryID>
        <PleaTypeID>4</PleaTypeID>
        <GroupPartyAlias>תובעים</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ניו לינאו סינמה (2006) בע"מ</FullName>
        <LastName>ניו לינאו סינמה (2006) בע"מ</LastName>
        <PartyPropertyName/>
        <AuthenticationTypeAndNumber>חברות 513910265</AuthenticationTypeAndNumber>
        <RepresentatedOrRepresentativesNames>גיל הירשמן, אלי סבן</RepresentatedOrRepresentativesNames>
        <RepresentatedOrRepresentativesCount>2</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126839312</CasePartyID>
        <PartyTypeID>1</PartyTypeID>
        <ActivityStatusID>1</ActivityStatusID>
        <PartyAliasID>2</PartyAliasID>
        <PartyAliasName>נתבע</PartyAliasName>
        <OrdinalNumber>1</OrdinalNumber>
        <LegalEntityID>33171944</LegalEntityID>
        <CaseLegalEntityID>86372310</CaseLegalEntityID>
        <AuthenticationTypeID>3</AuthenticationTypeID>
        <AuthenticationTypeName>חברות</AuthenticationTypeName>
        <LegalEntityNumber>513910265</LegalEntityNumber>
        <IsMainPartyType>true</IsMainPartyType>
        <CaseDisplayIdentifier>25595-08-14</CaseDisplayIdentifier>
        <CaseTypeID>10036</CaseTypeID>
        <CaseTypeName>תובענה ייצוגית (ת"צ)</CaseTypeName>
        <CaseName>פרי נ' ניו לינאו סינמה (2006) בע"מ ואח'</CaseName>
        <FullAddress>פי גלילות 0 רמת השרון </FullAddress>
        <MotionID>0</MotionID>
        <CasePleaID>0</CasePleaID>
        <LinkedCaseID>0</LinkedCaseID>
        <PartyID>2</PartyID>
        <CasePartyCategoryID>2</CasePartyCategoryID>
        <LegalEntityAddressID>74097575</LegalEntityAddressID>
        <PleaTypeID>4</PleaTypeID>
        <GroupPartyAlias>נתבעים</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שאול שרצר</FullName>
        <FirstName>שאול</FirstName>
        <LastName>שרצר</LastName>
        <PartyPropertyName/>
        <AuthenticationTypeAndNumber>מ.ר. 11798</AuthenticationTypeAndNumber>
        <RepresentatedOrRepresentativesNames xml:space="preserve"> </RepresentatedOrRepresentativesNames>
        <RepresentatedOrRepresentativesCount>3</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130009060</CasePartyID>
        <PartyTypeID>2</PartyTypeID>
        <ActivityStatusID>1</ActivityStatusID>
        <PartyAliasID>21</PartyAliasID>
        <PartyAliasName>בא כוח נתבעים</PartyAliasName>
        <OrdinalNumber>1</OrdinalNumber>
        <LegalEntityID>380782</LegalEntityID>
        <CaseLegalEntityID>87347645</CaseLegalEntityID>
        <AuthenticationTypeID>4</AuthenticationTypeID>
        <AuthenticationTypeName>מ.ר.</AuthenticationTypeName>
        <LegalEntityNumber>11798</LegalEntityNumber>
        <IsMainPartyType>true</IsMainPartyType>
        <CaseDisplayIdentifier>25595-08-14</CaseDisplayIdentifier>
        <CaseTypeID>10036</CaseTypeID>
        <CaseTypeName>תובענה ייצוגית (ת"צ)</CaseTypeName>
        <CaseName>פרי נ' ניו לינאו סינמה (2006) בע"מ ואח'</CaseName>
        <FullAddress>הנצי"ב 29 תל אביב - יפו </FullAddress>
        <EmailAddress>ss666@012.net.il</EmailAddress>
        <MotionID>0</MotionID>
        <CasePleaID>0</CasePleaID>
        <LinkedCaseID>0</LinkedCaseID>
        <PartyID>2</PartyID>
        <CasePartyCategoryID>2</CasePartyCategoryID>
        <LegalEntityAddressID>76818382</LegalEntityAddressID>
        <LegalEntityEmailAddressID>67840998</LegalEntityEmailAddressID>
        <PleaTypeID>4</PleaTypeID>
        <LawyerOfficeName>משרד עו"ד: שאול שרצר</LawyerOfficeName>
        <LawyerOfficeID>421426</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אלי סבן</FullName>
        <FirstName>אלי</FirstName>
        <LastName>סבן</LastName>
        <PartyPropertyName/>
        <AuthenticationTypeAndNumber>מ.ר. 42410</AuthenticationTypeAndNumber>
        <RepresentatedOrRepresentativesNames xml:space="preserve"> </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128499104</CasePartyID>
        <PartyTypeID>2</PartyTypeID>
        <ActivityStatusID>1</ActivityStatusID>
        <PartyAliasID>21</PartyAliasID>
        <PartyAliasName>בא כוח נתבעים</PartyAliasName>
        <OrdinalNumber>2</OrdinalNumber>
        <LegalEntityID>418512</LegalEntityID>
        <CaseLegalEntityID>86891093</CaseLegalEntityID>
        <AuthenticationTypeID>4</AuthenticationTypeID>
        <AuthenticationTypeName>מ.ר.</AuthenticationTypeName>
        <LegalEntityNumber>42410</LegalEntityNumber>
        <IsMainPartyType>true</IsMainPartyType>
        <CaseDisplayIdentifier>25595-08-14</CaseDisplayIdentifier>
        <CaseTypeID>10036</CaseTypeID>
        <CaseTypeName>תובענה ייצוגית (ת"צ)</CaseTypeName>
        <CaseName>פרי נ' ניו לינאו סינמה (2006) בע"מ ואח'</CaseName>
        <FullAddress>לינקולן 20 תל אביב - יפו בית רובינשטיין</FullAddress>
        <MotionID>0</MotionID>
        <CasePleaID>0</CasePleaID>
        <LinkedCaseID>0</LinkedCaseID>
        <PartyID>2</PartyID>
        <CasePartyCategoryID>2</CasePartyCategoryID>
        <LegalEntityAddressID>70323881</LegalEntityAddressID>
        <PleaTypeID>4</PleaTypeID>
        <LawyerOfficeName>משרד עו"ד: חיים צדוק ושות'</LawyerOfficeName>
        <LawyerOfficeID>420815</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ת.י. תאטראות 2004 בע"מ</FullName>
        <LastName>ת.י. תאטראות 2004 בע"מ</LastName>
        <PartyPropertyName/>
        <AuthenticationTypeAndNumber>חברות 513492363</AuthenticationTypeAndNumber>
        <RepresentatedOrRepresentativesNames>שאול שרצר</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126839313</CasePartyID>
        <PartyTypeID>1</PartyTypeID>
        <ActivityStatusID>1</ActivityStatusID>
        <PartyAliasID>2</PartyAliasID>
        <PartyAliasName>נתבע</PartyAliasName>
        <OrdinalNumber>2</OrdinalNumber>
        <LegalEntityID>341137</LegalEntityID>
        <CaseLegalEntityID>86372311</CaseLegalEntityID>
        <AuthenticationTypeID>3</AuthenticationTypeID>
        <AuthenticationTypeName>חברות</AuthenticationTypeName>
        <LegalEntityNumber>513492363</LegalEntityNumber>
        <IsMainPartyType>true</IsMainPartyType>
        <CaseDisplayIdentifier>25595-08-14</CaseDisplayIdentifier>
        <CaseTypeID>10036</CaseTypeID>
        <CaseTypeName>תובענה ייצוגית (ת"צ)</CaseTypeName>
        <CaseName>פרי נ' ניו לינאו סינמה (2006) בע"מ ואח'</CaseName>
        <FullAddress>הנביאים 18 חיפה </FullAddress>
        <MotionID>0</MotionID>
        <CasePleaID>0</CasePleaID>
        <LinkedCaseID>0</LinkedCaseID>
        <PartyID>2</PartyID>
        <CasePartyCategoryID>2</CasePartyCategoryID>
        <LegalEntityAddressID>74027968</LegalEntityAddressID>
        <PleaTypeID>4</PleaTypeID>
        <GroupPartyAlias>נתבעים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3</RoleName>
        <IsSubProceeding>FALSE</IsSubProceeding>
        <FullName>בתי קולנוע תאטראות בע"מ</FullName>
        <LastName>בתי קולנוע תאטראות בע"מ</LastName>
        <PartyPropertyName/>
        <AuthenticationTypeAndNumber>חברות 511361412</AuthenticationTypeAndNumber>
        <RepresentatedOrRepresentativesNames>שאול שרצר</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126839314</CasePartyID>
        <PartyTypeID>1</PartyTypeID>
        <ActivityStatusID>1</ActivityStatusID>
        <PartyAliasID>2</PartyAliasID>
        <PartyAliasName>נתבע</PartyAliasName>
        <OrdinalNumber>3</OrdinalNumber>
        <LegalEntityID>118000</LegalEntityID>
        <CaseLegalEntityID>86372312</CaseLegalEntityID>
        <AuthenticationTypeID>3</AuthenticationTypeID>
        <AuthenticationTypeName>חברות</AuthenticationTypeName>
        <LegalEntityNumber>511361412</LegalEntityNumber>
        <IsMainPartyType>true</IsMainPartyType>
        <CaseDisplayIdentifier>25595-08-14</CaseDisplayIdentifier>
        <CaseTypeID>10036</CaseTypeID>
        <CaseTypeName>תובענה ייצוגית (ת"צ)</CaseTypeName>
        <CaseName>פרי נ' ניו לינאו סינמה (2006) בע"מ ואח'</CaseName>
        <FullAddress>מדינת היהודים 91 הרצליה </FullAddress>
        <MotionID>0</MotionID>
        <CasePleaID>0</CasePleaID>
        <LinkedCaseID>0</LinkedCaseID>
        <PartyID>2</PartyID>
        <CasePartyCategoryID>2</CasePartyCategoryID>
        <LegalEntityAddressID>74347626</LegalEntityAddressID>
        <PleaTypeID>4</PleaTypeID>
        <GroupPartyAlias>נתבעים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4</RoleName>
        <IsSubProceeding>FALSE</IsSubProceeding>
        <FullName>תיאטראות ישראל בעמ</FullName>
        <LastName>תיאטראות ישראל בעמ</LastName>
        <PartyPropertyName/>
        <AuthenticationTypeAndNumber>חברות 520022948</AuthenticationTypeAndNumber>
        <RepresentatedOrRepresentativesNames>שאול שרצר</RepresentatedOrRepresentativesNames>
        <RepresentatedOrRepresentativesCount>1</RepresentatedOrRepresentativesCount>
        <InvitedBy/>
        <CaseID>72095259</CaseID>
        <CaseJudicialPersonPresentationDS>
          <CaseJudicalPersonActive>
            <CaseID>72095259</CaseID>
            <JudicialPersonID>024602203@GOV.IL</JudicialPersonID>
            <JudicialPersonTypeID>1</JudicialPersonTypeID>
            <JudicialTypeID>1</JudicialTypeID>
            <IsChairman>false</IsChairman>
            <TreatmentStartDate>2014-08-19T13:11:06.877+03:00</TreatmentStartDate>
            <TreatmentFinishDate>9999-12-31T23:59:59.997+02:00</TreatmentFinishDate>
            <IdentificationCardNumber>024602203</IdentificationCardNumber>
            <DisplayName>פרופ' עופר גרוסקופף</DisplayName>
            <JudicialTypeName>שופט</JudicialTypeName>
            <CaseJudicialGroupNumber>0</CaseJudicialGroupNumber>
            <FirstName>עופר</FirstName>
            <LastName>גרוסקופף</LastName>
          </CaseJudicalPersonActive>
        </CaseJudicialPersonPresentationDS>
        <CasePartyID>126839315</CasePartyID>
        <PartyTypeID>1</PartyTypeID>
        <ActivityStatusID>1</ActivityStatusID>
        <PartyAliasID>2</PartyAliasID>
        <PartyAliasName>נתבע</PartyAliasName>
        <OrdinalNumber>4</OrdinalNumber>
        <LegalEntityID>361198</LegalEntityID>
        <CaseLegalEntityID>86372313</CaseLegalEntityID>
        <AuthenticationTypeID>3</AuthenticationTypeID>
        <AuthenticationTypeName>חברות</AuthenticationTypeName>
        <LegalEntityNumber>520022948</LegalEntityNumber>
        <IsMainPartyType>true</IsMainPartyType>
        <CaseDisplayIdentifier>25595-08-14</CaseDisplayIdentifier>
        <CaseTypeID>10036</CaseTypeID>
        <CaseTypeName>תובענה ייצוגית (ת"צ)</CaseTypeName>
        <CaseName>פרי נ' ניו לינאו סינמה (2006) בע"מ ואח'</CaseName>
        <FullAddress>הנביאים 18 חיפה </FullAddress>
        <MotionID>0</MotionID>
        <CasePleaID>0</CasePleaID>
        <LinkedCaseID>0</LinkedCaseID>
        <PartyID>2</PartyID>
        <CasePartyCategoryID>2</CasePartyCategoryID>
        <LegalEntityAddressID>75098130</LegalEntityAddressID>
        <PleaTypeID>4</PleaTypeID>
        <GroupPartyAlias>נתבעים</GroupPartyAlias>
        <IsConverted>false</IsConverted>
        <RepresentatedNamesOfAssistant/>
        <LegalEntityTypeID>3</LegalEntityTypeID>
        <IsVerdictExists>false</IsVerdictExists>
        <IsAsirAzir>false</IsAsirAzir>
      </CaseParties>
    </CasePartiesSelectionDS>
    <CaseName>פרי נ' ניו לינאו סינמה (2006) בע"מ ואח'</CaseName>
    <CaseDisplayIdentifier>25595-08-14</CaseDisplayIdentifier>
    <CaseInterestID>106</CaseInterestID>
    <CaseTypeShortName>ת"צ</CaseTypeShortName>
  </dt_DecisionCase>
  <dt_DecisionCase>
    <DecisionID>0</DecisionID>
    <CaseID>72123993</CaseID>
    <CaseJudicialPersonPresentationDS/>
    <CasePartiesSelectionDS/>
    <CaseName>כהן ואח' נ' התיאטרון הלאומי הבימה בע"מ(חל"צ) ואח'</CaseName>
    <CaseDisplayIdentifier>4850-09-14</CaseDisplayIdentifier>
    <CaseInterestID>106</CaseInterestID>
    <CaseTypeShortName>ת"צ</CaseTypeShortName>
  </dt_DecisionCase>
  <dt_DecisionJudgePanel>
    <JudgeID>024602203@GOV.IL</JudgeID>
    <DisplayName>פרופ' עופר גרוסקופף</DisplayName>
    <RoleName>שופט</RoleName>
    <UserTitleName>שופט</UserTitleName>
  </dt_DecisionJudgePanel>
  <dt_LegalEntityDetails>
    <Fax>03-6935177</Fax>
    <Phone>03-6935277</Phone>
    <AddressDesc>ת.ד 18198</AddressDesc>
    <PartyID>2</PartyID>
    <PartyTypeID>2</PartyTypeID>
    <DecisionID>0</DecisionID>
    <StreetName>ברקוביץ 4</StreetName>
    <ZipCode>61181</ZipCode>
    <CityName>תל אביב - יפו</CityName>
    <FullName> משרד עו"ד: גיל הירשמן ושות'</FullName>
  </dt_LegalEntityDetails>
  <dt_LegalEntityDetails>
    <Fax>073-3736491</Fax>
    <Phone>073-3736222</Phone>
    <AddressDesc>בית קרדן</AddressDesc>
    <PartyTypeID>2</PartyTypeID>
    <DecisionID>0</DecisionID>
    <StreetName>דרך מנחם בגין 154</StreetName>
    <ZipCode>6133001</ZipCode>
    <CityName>תל אביב - יפו</CityName>
    <FullName> פרקליטות מחוז ת"א - אזרחי</FullName>
  </dt_LegalEntityDetails>
  <dt_LegalEntityDetails>
    <PartyID>1</PartyID>
    <PartyTypeID>1</PartyTypeID>
    <DecisionID>0</DecisionID>
  </dt_LegalEntityDetails>
  <dt_LegalEntityDetails>
    <Fax>03-6910043</Fax>
    <Phone>03-6910042</Phone>
    <AddressDesc>ת.ד 34046</AddressDesc>
    <PartyID>1</PartyID>
    <PartyTypeID>2</PartyTypeID>
    <DecisionID>0</DecisionID>
    <StreetName>.</StreetName>
    <ZipCode>61340</ZipCode>
    <CityName>תל אביב - יפו</CityName>
    <FullName> משרד עו"ד תומר אפלדורף</FullName>
  </dt_LegalEntityDetails>
  <dt_LegalEntityDetails>
    <PartyID>2</PartyID>
    <PartyTypeID>1</PartyTypeID>
    <DecisionID>0</DecisionID>
    <StreetName>פי גלילות 0</StreetName>
    <CityName>רמת השרון</CityName>
  </dt_LegalEntityDetails>
  <dt_LegalEntityDetails>
    <Fax>03-5615943</Fax>
    <Phone>03-5611757</Phone>
    <PartyID>2</PartyID>
    <PartyTypeID>2</PartyTypeID>
    <DecisionID>0</DecisionID>
    <StreetName>הנצי"ב 29</StreetName>
    <ZipCode>6701505</ZipCode>
    <CityName>תל אביב - יפו</CityName>
    <FullName> משרד עו"ד: שאול שרצר</FullName>
  </dt_LegalEntityDetails>
  <dt_LegalEntityDetails>
    <PartyID>2</PartyID>
    <PartyTypeID>1</PartyTypeID>
    <DecisionID>0</DecisionID>
    <StreetName>הנביאים 18</StreetName>
    <ZipCode>33501</ZipCode>
    <CityName>חיפה</CityName>
  </dt_LegalEntityDetails>
  <dt_LegalEntityDetails>
    <Fax>03-6254040</Fax>
    <Phone>03-6254000</Phone>
    <AddressDesc>בית רובינשטיין</AddressDesc>
    <PartyID>2</PartyID>
    <PartyTypeID>2</PartyTypeID>
    <DecisionID>0</DecisionID>
    <StreetName>לינקולן 20</StreetName>
    <ZipCode>67134</ZipCode>
    <CityName>תל אביב - יפו</CityName>
    <FullName> משרד עו"ד: חיים צדוק ושות'</FullName>
  </dt_LegalEntityDetails>
  <dt_LegalEntityDetails>
    <PartyID>2</PartyID>
    <PartyTypeID>1</PartyTypeID>
    <DecisionID>0</DecisionID>
    <StreetName>מדינת היהודים 91</StreetName>
    <ZipCode>46766</ZipCode>
    <CityName>הרצליה</CityName>
  </dt_LegalEntityDetails>
  <dt_LegalEntityDetails>
    <PartyID>2</PartyID>
    <PartyTypeID>1</PartyTypeID>
    <DecisionID>0</DecisionID>
    <StreetName>הנביאים 18</StreetName>
    <ZipCode>33501</ZipCode>
    <CityName>חיפה</CityName>
  </dt_LegalEntityDetails>
  <dt_CaseJudicalPersonActive>
    <CaseJudicalPerson>שופט עופר גרוסקופף</CaseJudicalPerson>
  </dt_CaseJudicalPersonActive>
  <dt_Sitting>
    <PreviousMeetingDate>2015-10-29T10:00:00+02:00</PreviousMeetingDate>
    <PreviousSittingTypeID>5</PreviousSittingTypeID>
    <PreviousMeetingDisplayName>שופט פרופ' עופר גרוסקופף</PreviousMeetingDisplayName>
    <PreviousMeetingRoleName>שופט</PreviousMeetingRoleName>
    <PreviousMeetingUserTitleName>שופט</PreviousMeetingUserTitleName>
    <PreviousMeetingUserUPN>024602203@GOV.IL</PreviousMeetingUserUPN>
  </dt_Sitting>
  <dt_CasePartiesSideG>
    <FirstName/>
    <LastName>מדינת ישראל</LastName>
    <UserRoleName/>
    <PartyAliasName>מבקש</PartyAliasName>
    <OrdinalNumber>1</OrdinalNumber>
  </dt_CasePartiesSideG>
</DecisionTemplateDS>
</file>

<file path=customXml/itemProps1.xml><?xml version="1.0" encoding="utf-8"?>
<ds:datastoreItem xmlns:ds="http://schemas.openxmlformats.org/officeDocument/2006/customXml" ds:itemID="{5B57BEE5-E1CA-4149-BDD4-0BEBC00C1C2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2821</Words>
  <Characters>14106</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תומר אפלדורף</cp:lastModifiedBy>
  <cp:revision>119</cp:revision>
  <cp:lastPrinted>2015-11-04T11:20:00Z</cp:lastPrinted>
  <dcterms:created xsi:type="dcterms:W3CDTF">2012-08-05T21:29:00Z</dcterms:created>
  <dcterms:modified xsi:type="dcterms:W3CDTF">2017-03-06T09:27:00Z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